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C6D" w:rsidRDefault="001F1C6D" w:rsidP="001F1C6D">
      <w:pPr>
        <w:pStyle w:val="Opisslike"/>
        <w:spacing w:after="0" w:line="240" w:lineRule="auto"/>
        <w:rPr>
          <w:rFonts w:ascii="Arial" w:hAnsi="Arial" w:cs="Arial"/>
        </w:rPr>
      </w:pPr>
      <w:bookmarkStart w:id="0" w:name="_Toc468978617"/>
      <w:r>
        <w:rPr>
          <w:rFonts w:ascii="Arial" w:hAnsi="Arial" w:cs="Arial"/>
        </w:rPr>
        <w:t>Obrazac Izvješća o savjetovanju s javnošću</w:t>
      </w:r>
      <w:bookmarkEnd w:id="0"/>
    </w:p>
    <w:p w:rsidR="001F1C6D" w:rsidRDefault="001F1C6D" w:rsidP="001F1C6D">
      <w:pPr>
        <w:spacing w:after="0" w:line="240" w:lineRule="auto"/>
        <w:rPr>
          <w:rFonts w:ascii="Arial" w:hAnsi="Arial" w:cs="Arial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2"/>
        <w:gridCol w:w="5301"/>
      </w:tblGrid>
      <w:tr w:rsidR="001F1C6D" w:rsidTr="001F1C6D">
        <w:trPr>
          <w:trHeight w:val="719"/>
        </w:trPr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365F9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F1C6D" w:rsidRDefault="001F1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IZVJEŠĆE O SAVJETOVANJU S JAVNOŠĆU</w:t>
            </w:r>
          </w:p>
          <w:p w:rsidR="001F1C6D" w:rsidRDefault="001F1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 POSTUPKU DONOŠENJA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 xml:space="preserve"> PLANA DAVANJA KONCESIJSKIH ODOBRENJA NA POMORSKOM DOBRU NA PODRUČJU GRADA HVARA ZA 2019. GODINU</w:t>
            </w:r>
          </w:p>
          <w:p w:rsidR="001F1C6D" w:rsidRDefault="001F1C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F1C6D" w:rsidRDefault="001E62F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Nositelj izrade izvješća: GRAD HVAR</w:t>
            </w:r>
          </w:p>
          <w:p w:rsidR="001F1C6D" w:rsidRPr="00F700F6" w:rsidRDefault="001F1C6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Hvar, </w:t>
            </w:r>
            <w:r w:rsidR="00400DF1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  <w:r w:rsidR="00F700F6">
              <w:rPr>
                <w:rFonts w:ascii="Arial" w:hAnsi="Arial" w:cs="Arial"/>
                <w:b/>
                <w:bCs/>
                <w:sz w:val="20"/>
                <w:szCs w:val="20"/>
              </w:rPr>
              <w:t>. Veljače 2019.g.</w:t>
            </w:r>
          </w:p>
          <w:p w:rsidR="001F1C6D" w:rsidRDefault="001F1C6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F1C6D" w:rsidTr="001F1C6D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  <w:hideMark/>
          </w:tcPr>
          <w:p w:rsidR="001F1C6D" w:rsidRDefault="001F1C6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Naziv akta za koji je provedeno savjetovanje s javnošću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1F1C6D" w:rsidRDefault="001F1C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Nacrt prijedloga Plana davanja koncesijskih odobrenja na pomorskom dobru na području Grada Hvara za 2019. godinu </w:t>
            </w:r>
          </w:p>
          <w:p w:rsidR="001F1C6D" w:rsidRDefault="00DA0044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Nacrt Pravilnika o obavljanju djelatnosti na pomorskom dobru na temelju koncesijskog odobrenja na području Grada Hvara </w:t>
            </w:r>
          </w:p>
        </w:tc>
      </w:tr>
      <w:tr w:rsidR="001F1C6D" w:rsidTr="001F1C6D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  <w:hideMark/>
          </w:tcPr>
          <w:p w:rsidR="001F1C6D" w:rsidRDefault="001F1C6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Naziv tijela nadležnog za izradu nacrta akta/dokumenta i provedbu savjetovanja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1F1C6D" w:rsidRDefault="001F1C6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Jedinstveni upravni odjel</w:t>
            </w:r>
          </w:p>
          <w:p w:rsidR="001F1C6D" w:rsidRDefault="001F1C6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F1C6D" w:rsidTr="001F1C6D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  <w:hideMark/>
          </w:tcPr>
          <w:p w:rsidR="001F1C6D" w:rsidRDefault="001F1C6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Razlozi za donošenje akta i ciljevi koji se njime žele postići uz sažetak ključnih pitanja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1F1C6D" w:rsidRDefault="001F1C6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Uključivanje javnosti u donošenje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Plana radi što uspješnijeg upravljanja i gospodarenja pomorskim dobrom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1F1C6D" w:rsidRDefault="001F1C6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F1C6D" w:rsidTr="001F1C6D">
        <w:trPr>
          <w:trHeight w:val="525"/>
        </w:trPr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  <w:hideMark/>
          </w:tcPr>
          <w:p w:rsidR="001F1C6D" w:rsidRDefault="001F1C6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Objava dokumenata za savjetovanje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1F1C6D" w:rsidRDefault="001F1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F1C6D" w:rsidRPr="000E1F3B" w:rsidRDefault="00C95F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1F1C6D">
                <w:rPr>
                  <w:rStyle w:val="Hiperveza"/>
                  <w:rFonts w:ascii="Arial" w:hAnsi="Arial" w:cs="Arial"/>
                  <w:sz w:val="20"/>
                  <w:szCs w:val="20"/>
                </w:rPr>
                <w:t>https://www.</w:t>
              </w:r>
            </w:hyperlink>
            <w:r w:rsidR="000E1F3B">
              <w:rPr>
                <w:rStyle w:val="Hiperveza"/>
                <w:rFonts w:ascii="Arial" w:hAnsi="Arial" w:cs="Arial"/>
                <w:sz w:val="20"/>
                <w:szCs w:val="20"/>
              </w:rPr>
              <w:t>hvar.hr/portal/vazni-akti/pomorsko-dobro/</w:t>
            </w:r>
          </w:p>
        </w:tc>
      </w:tr>
      <w:tr w:rsidR="001F1C6D" w:rsidTr="001F1C6D">
        <w:trPr>
          <w:trHeight w:val="772"/>
        </w:trPr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  <w:hideMark/>
          </w:tcPr>
          <w:p w:rsidR="001F1C6D" w:rsidRDefault="001F1C6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Razdoblje provedbe savjetovanja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auto"/>
              <w:right w:val="single" w:sz="4" w:space="0" w:color="365F91"/>
            </w:tcBorders>
            <w:vAlign w:val="center"/>
          </w:tcPr>
          <w:p w:rsidR="001F1C6D" w:rsidRDefault="001F1C6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Internetsko savjetovanje s javnošću provedeno je u razdoblju od 06. siječnja 2019. godin</w:t>
            </w:r>
            <w:r w:rsidR="00F700F6">
              <w:rPr>
                <w:rFonts w:ascii="Arial" w:hAnsi="Arial" w:cs="Arial"/>
                <w:bCs/>
                <w:sz w:val="20"/>
                <w:szCs w:val="20"/>
              </w:rPr>
              <w:t xml:space="preserve">e  do 21. siječnja </w:t>
            </w:r>
            <w:r w:rsidR="00795907">
              <w:rPr>
                <w:rFonts w:ascii="Arial" w:hAnsi="Arial" w:cs="Arial"/>
                <w:bCs/>
                <w:sz w:val="20"/>
                <w:szCs w:val="20"/>
              </w:rPr>
              <w:t xml:space="preserve">2019.g.,a </w:t>
            </w:r>
            <w:r w:rsidR="001A4517">
              <w:rPr>
                <w:rFonts w:ascii="Arial" w:hAnsi="Arial" w:cs="Arial"/>
                <w:bCs/>
                <w:sz w:val="20"/>
                <w:szCs w:val="20"/>
              </w:rPr>
              <w:t xml:space="preserve">primjedbe prihvaćene </w:t>
            </w:r>
            <w:r w:rsidR="00795907">
              <w:rPr>
                <w:rFonts w:ascii="Arial" w:hAnsi="Arial" w:cs="Arial"/>
                <w:bCs/>
                <w:sz w:val="20"/>
                <w:szCs w:val="20"/>
              </w:rPr>
              <w:t>do 06. veljače 2019.</w:t>
            </w:r>
          </w:p>
          <w:p w:rsidR="001F1C6D" w:rsidRDefault="001F1C6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F1C6D" w:rsidTr="001F1C6D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  <w:hideMark/>
          </w:tcPr>
          <w:p w:rsidR="001F1C6D" w:rsidRDefault="001F1C6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Pregled osnovnih pokazatelja  uključenosti savjetovanja s javnošću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1F1C6D" w:rsidRDefault="00CC2BF7" w:rsidP="00DA004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Pristigle su 8</w:t>
            </w:r>
            <w:r w:rsidR="001F1C6D">
              <w:rPr>
                <w:rFonts w:ascii="Arial" w:hAnsi="Arial" w:cs="Arial"/>
                <w:bCs/>
                <w:sz w:val="20"/>
                <w:szCs w:val="20"/>
              </w:rPr>
              <w:t xml:space="preserve"> primjed</w:t>
            </w:r>
            <w:r w:rsidR="001E62F0">
              <w:rPr>
                <w:rFonts w:ascii="Arial" w:hAnsi="Arial" w:cs="Arial"/>
                <w:bCs/>
                <w:sz w:val="20"/>
                <w:szCs w:val="20"/>
              </w:rPr>
              <w:t>aba</w:t>
            </w:r>
            <w:r w:rsidR="00E372FA">
              <w:rPr>
                <w:rFonts w:ascii="Arial" w:hAnsi="Arial" w:cs="Arial"/>
                <w:bCs/>
                <w:sz w:val="20"/>
                <w:szCs w:val="20"/>
              </w:rPr>
              <w:t xml:space="preserve"> od kojih se </w:t>
            </w:r>
            <w:r w:rsidR="00300838">
              <w:rPr>
                <w:rFonts w:ascii="Arial" w:hAnsi="Arial" w:cs="Arial"/>
                <w:bCs/>
                <w:sz w:val="20"/>
                <w:szCs w:val="20"/>
              </w:rPr>
              <w:t>4 primjed</w:t>
            </w:r>
            <w:r w:rsidR="00E261AF">
              <w:rPr>
                <w:rFonts w:ascii="Arial" w:hAnsi="Arial" w:cs="Arial"/>
                <w:bCs/>
                <w:sz w:val="20"/>
                <w:szCs w:val="20"/>
              </w:rPr>
              <w:t>be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prihvaća</w:t>
            </w:r>
            <w:r w:rsidR="00E261AF">
              <w:rPr>
                <w:rFonts w:ascii="Arial" w:hAnsi="Arial" w:cs="Arial"/>
                <w:bCs/>
                <w:sz w:val="20"/>
                <w:szCs w:val="20"/>
              </w:rPr>
              <w:t>ju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2</w:t>
            </w:r>
            <w:r w:rsidR="00E34E2E">
              <w:rPr>
                <w:rFonts w:ascii="Arial" w:hAnsi="Arial" w:cs="Arial"/>
                <w:bCs/>
                <w:sz w:val="20"/>
                <w:szCs w:val="20"/>
              </w:rPr>
              <w:t xml:space="preserve"> primjedba se djelomično prihvaća</w:t>
            </w:r>
            <w:r>
              <w:rPr>
                <w:rFonts w:ascii="Arial" w:hAnsi="Arial" w:cs="Arial"/>
                <w:bCs/>
                <w:sz w:val="20"/>
                <w:szCs w:val="20"/>
              </w:rPr>
              <w:t>ju</w:t>
            </w:r>
            <w:r w:rsidR="00E261AF">
              <w:rPr>
                <w:rFonts w:ascii="Arial" w:hAnsi="Arial" w:cs="Arial"/>
                <w:bCs/>
                <w:sz w:val="20"/>
                <w:szCs w:val="20"/>
              </w:rPr>
              <w:t xml:space="preserve"> i 2</w:t>
            </w:r>
            <w:r w:rsidR="00E34E2E">
              <w:rPr>
                <w:rFonts w:ascii="Arial" w:hAnsi="Arial" w:cs="Arial"/>
                <w:bCs/>
                <w:sz w:val="20"/>
                <w:szCs w:val="20"/>
              </w:rPr>
              <w:t xml:space="preserve"> primjedba se ne prihvaća</w:t>
            </w:r>
            <w:r w:rsidR="00E261AF">
              <w:rPr>
                <w:rFonts w:ascii="Arial" w:hAnsi="Arial" w:cs="Arial"/>
                <w:bCs/>
                <w:sz w:val="20"/>
                <w:szCs w:val="20"/>
              </w:rPr>
              <w:t>ju</w:t>
            </w:r>
          </w:p>
        </w:tc>
      </w:tr>
      <w:tr w:rsidR="001F1C6D" w:rsidTr="001F1C6D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  <w:hideMark/>
          </w:tcPr>
          <w:p w:rsidR="001F1C6D" w:rsidRDefault="001F1C6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  <w:hideMark/>
          </w:tcPr>
          <w:p w:rsidR="001F1C6D" w:rsidRDefault="00E34E2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Prilaže se tablica </w:t>
            </w:r>
            <w:r w:rsidR="001F1C6D">
              <w:rPr>
                <w:rFonts w:ascii="Arial" w:hAnsi="Arial" w:cs="Arial"/>
                <w:bCs/>
                <w:sz w:val="20"/>
                <w:szCs w:val="20"/>
              </w:rPr>
              <w:t xml:space="preserve">primjedbi – </w:t>
            </w:r>
            <w:r w:rsidR="001F1C6D">
              <w:rPr>
                <w:rFonts w:ascii="Arial" w:hAnsi="Arial" w:cs="Arial"/>
                <w:b/>
                <w:bCs/>
                <w:sz w:val="20"/>
                <w:szCs w:val="20"/>
              </w:rPr>
              <w:t>Prilog 1.</w:t>
            </w:r>
          </w:p>
        </w:tc>
      </w:tr>
      <w:tr w:rsidR="001F1C6D" w:rsidTr="001F1C6D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  <w:hideMark/>
          </w:tcPr>
          <w:p w:rsidR="001F1C6D" w:rsidRDefault="001F1C6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Ostali oblici savjetovanja s javnošću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:rsidR="001F1C6D" w:rsidRDefault="001F1C6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F1C6D" w:rsidTr="001F1C6D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  <w:hideMark/>
          </w:tcPr>
          <w:p w:rsidR="001F1C6D" w:rsidRDefault="001F1C6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Troškovi provedenog savjetovanja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:rsidR="001F1C6D" w:rsidRDefault="001F1C6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Provedba javnog savjetovanja nije iziskivala dodatne financijske troškove.</w:t>
            </w:r>
          </w:p>
        </w:tc>
      </w:tr>
    </w:tbl>
    <w:p w:rsidR="001F1C6D" w:rsidRDefault="001F1C6D" w:rsidP="001F1C6D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bookmarkStart w:id="1" w:name="_Toc468978618"/>
    </w:p>
    <w:p w:rsidR="001F1C6D" w:rsidRDefault="001F1C6D" w:rsidP="001F1C6D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1F1C6D" w:rsidRDefault="001F1C6D" w:rsidP="001F1C6D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1F1C6D" w:rsidRDefault="001F1C6D" w:rsidP="001F1C6D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1F1C6D" w:rsidRDefault="001F1C6D" w:rsidP="001F1C6D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1F1C6D" w:rsidRDefault="001F1C6D" w:rsidP="001F1C6D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1F1C6D" w:rsidRDefault="001F1C6D" w:rsidP="001F1C6D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1F1C6D" w:rsidRDefault="001F1C6D" w:rsidP="001F1C6D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1F1C6D" w:rsidRDefault="001F1C6D" w:rsidP="001F1C6D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1F1C6D" w:rsidRDefault="001F1C6D" w:rsidP="001F1C6D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1F1C6D" w:rsidRDefault="001F1C6D" w:rsidP="001F1C6D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1F1C6D" w:rsidRDefault="001F1C6D" w:rsidP="001F1C6D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1F1C6D" w:rsidRDefault="001F1C6D" w:rsidP="001F1C6D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DA0044" w:rsidRDefault="00DA0044" w:rsidP="001F1C6D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DA0044" w:rsidRDefault="00DA0044" w:rsidP="001F1C6D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DA0044" w:rsidRDefault="00DA0044" w:rsidP="001F1C6D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DA0044" w:rsidRDefault="00DA0044" w:rsidP="001F1C6D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DA0044" w:rsidRDefault="00DA0044" w:rsidP="001F1C6D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DA0044" w:rsidRDefault="00DA0044" w:rsidP="001F1C6D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DA0044" w:rsidRDefault="00DA0044" w:rsidP="001F1C6D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DA0044" w:rsidRDefault="00DA0044" w:rsidP="001F1C6D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1F1C6D" w:rsidRDefault="001F1C6D" w:rsidP="001F1C6D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1F1C6D" w:rsidRDefault="001F1C6D" w:rsidP="001F1C6D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1F1C6D" w:rsidRDefault="001F1C6D" w:rsidP="001F1C6D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lastRenderedPageBreak/>
        <w:t>Prilog 1. Pregled prihvaćenih i neprihvaćenih primjedbi</w:t>
      </w:r>
      <w:bookmarkEnd w:id="1"/>
    </w:p>
    <w:p w:rsidR="001F1C6D" w:rsidRDefault="001F1C6D" w:rsidP="001F1C6D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tbl>
      <w:tblPr>
        <w:tblW w:w="9593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1559"/>
        <w:gridCol w:w="1418"/>
        <w:gridCol w:w="3874"/>
        <w:gridCol w:w="2080"/>
      </w:tblGrid>
      <w:tr w:rsidR="001F1C6D" w:rsidTr="00A35016">
        <w:tc>
          <w:tcPr>
            <w:tcW w:w="66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  <w:hideMark/>
          </w:tcPr>
          <w:p w:rsidR="001F1C6D" w:rsidRDefault="001F1C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  <w:p w:rsidR="001F1C6D" w:rsidRDefault="001F1C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  <w:hideMark/>
          </w:tcPr>
          <w:p w:rsidR="001F1C6D" w:rsidRDefault="001F1C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Sudionik savjetovanja (ime i prezime pojedinca, naziv organizacije)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  <w:hideMark/>
          </w:tcPr>
          <w:p w:rsidR="001F1C6D" w:rsidRDefault="001F1C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Članak ili drugi dio nacrta na koji se odnosi prijedlog ili mišljenje</w:t>
            </w:r>
          </w:p>
        </w:tc>
        <w:tc>
          <w:tcPr>
            <w:tcW w:w="387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  <w:hideMark/>
          </w:tcPr>
          <w:p w:rsidR="001F1C6D" w:rsidRDefault="001F1C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Tekst zaprimljenog prijedloga ili mišljenja</w:t>
            </w:r>
          </w:p>
        </w:tc>
        <w:tc>
          <w:tcPr>
            <w:tcW w:w="208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  <w:hideMark/>
          </w:tcPr>
          <w:p w:rsidR="001F1C6D" w:rsidRDefault="001F1C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Status prijedloga ili mišljenja</w:t>
            </w:r>
            <w:r w:rsidR="00AF644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F1C6D" w:rsidTr="00A35016">
        <w:trPr>
          <w:trHeight w:val="567"/>
        </w:trPr>
        <w:tc>
          <w:tcPr>
            <w:tcW w:w="66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F1C6D" w:rsidRDefault="001F1C6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F1C6D" w:rsidRDefault="001F1C6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HIPPOCAMPUS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vl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Zane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Lončar, Hvar-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Milna</w:t>
            </w:r>
            <w:proofErr w:type="spellEnd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1C6D" w:rsidRDefault="00882C3D" w:rsidP="00882C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Dopuna točke 5.2. prijedloga Plana uvrštenjem u Tablicu  </w:t>
            </w:r>
          </w:p>
        </w:tc>
        <w:tc>
          <w:tcPr>
            <w:tcW w:w="38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1C6D" w:rsidRDefault="001F1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82C3D" w:rsidRDefault="00882C3D" w:rsidP="00882C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Predlaže uvrštenje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mikrolokacije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za jednostavne ugostiteljske usluge ispod područja kampa u naselju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uz poštivanje oču</w:t>
            </w:r>
            <w:r w:rsidR="00877710">
              <w:rPr>
                <w:rFonts w:ascii="Arial" w:hAnsi="Arial" w:cs="Arial"/>
                <w:sz w:val="20"/>
                <w:szCs w:val="20"/>
              </w:rPr>
              <w:t>vanja okoliša koje je već obrt HIPPOCAMPUS uredio</w:t>
            </w:r>
            <w:r>
              <w:rPr>
                <w:rFonts w:ascii="Arial" w:hAnsi="Arial" w:cs="Arial"/>
                <w:sz w:val="20"/>
                <w:szCs w:val="20"/>
              </w:rPr>
              <w:t xml:space="preserve"> i  gdje već postoji odobrenje za iznajmljivanje suncobr</w:t>
            </w:r>
            <w:r w:rsidR="00877710">
              <w:rPr>
                <w:rFonts w:ascii="Arial" w:hAnsi="Arial" w:cs="Arial"/>
                <w:sz w:val="20"/>
                <w:szCs w:val="20"/>
              </w:rPr>
              <w:t xml:space="preserve">ana i ležaljki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F1C6D" w:rsidRDefault="001F1C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F1C6D" w:rsidRDefault="001F1C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4058" w:rsidRPr="000454E0">
              <w:rPr>
                <w:rFonts w:ascii="Arial" w:hAnsi="Arial" w:cs="Arial"/>
                <w:b/>
                <w:sz w:val="20"/>
                <w:szCs w:val="20"/>
              </w:rPr>
              <w:t>Prihvaća se</w:t>
            </w:r>
            <w:r w:rsidR="003440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34CF">
              <w:rPr>
                <w:rFonts w:ascii="Arial" w:hAnsi="Arial" w:cs="Arial"/>
                <w:sz w:val="20"/>
                <w:szCs w:val="20"/>
              </w:rPr>
              <w:t xml:space="preserve">primjedba obrta HIPPOCAMPUS te se dopunjuje točka 5.2. </w:t>
            </w:r>
            <w:r w:rsidR="00CC2FB7">
              <w:rPr>
                <w:rFonts w:ascii="Arial" w:hAnsi="Arial" w:cs="Arial"/>
                <w:sz w:val="20"/>
                <w:szCs w:val="20"/>
              </w:rPr>
              <w:t xml:space="preserve">na način „red.br.4. montažni </w:t>
            </w:r>
            <w:proofErr w:type="spellStart"/>
            <w:r w:rsidR="00CC2FB7">
              <w:rPr>
                <w:rFonts w:ascii="Arial" w:hAnsi="Arial" w:cs="Arial"/>
                <w:sz w:val="20"/>
                <w:szCs w:val="20"/>
              </w:rPr>
              <w:t>objekat</w:t>
            </w:r>
            <w:proofErr w:type="spellEnd"/>
            <w:r w:rsidR="00CC2F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4058">
              <w:rPr>
                <w:rFonts w:ascii="Arial" w:hAnsi="Arial" w:cs="Arial"/>
                <w:sz w:val="20"/>
                <w:szCs w:val="20"/>
              </w:rPr>
              <w:t>u</w:t>
            </w:r>
            <w:r w:rsidR="00CC2FB7">
              <w:rPr>
                <w:rFonts w:ascii="Arial" w:hAnsi="Arial" w:cs="Arial"/>
                <w:sz w:val="20"/>
                <w:szCs w:val="20"/>
              </w:rPr>
              <w:t xml:space="preserve"> naselju </w:t>
            </w:r>
            <w:proofErr w:type="spellStart"/>
            <w:r w:rsidR="00CC2FB7">
              <w:rPr>
                <w:rFonts w:ascii="Arial" w:hAnsi="Arial" w:cs="Arial"/>
                <w:sz w:val="20"/>
                <w:szCs w:val="20"/>
              </w:rPr>
              <w:t>Milna</w:t>
            </w:r>
            <w:proofErr w:type="spellEnd"/>
            <w:r w:rsidR="00CC2FB7">
              <w:rPr>
                <w:rFonts w:ascii="Arial" w:hAnsi="Arial" w:cs="Arial"/>
                <w:sz w:val="20"/>
                <w:szCs w:val="20"/>
              </w:rPr>
              <w:t xml:space="preserve"> na dijelu </w:t>
            </w:r>
            <w:proofErr w:type="spellStart"/>
            <w:r w:rsidR="00CC2FB7">
              <w:rPr>
                <w:rFonts w:ascii="Arial" w:hAnsi="Arial" w:cs="Arial"/>
                <w:sz w:val="20"/>
                <w:szCs w:val="20"/>
              </w:rPr>
              <w:t>č.z</w:t>
            </w:r>
            <w:proofErr w:type="spellEnd"/>
            <w:r w:rsidR="00CC2FB7">
              <w:rPr>
                <w:rFonts w:ascii="Arial" w:hAnsi="Arial" w:cs="Arial"/>
                <w:sz w:val="20"/>
                <w:szCs w:val="20"/>
              </w:rPr>
              <w:t xml:space="preserve">. 3481 ispred </w:t>
            </w:r>
            <w:proofErr w:type="spellStart"/>
            <w:r w:rsidR="00CC2FB7">
              <w:rPr>
                <w:rFonts w:ascii="Arial" w:hAnsi="Arial" w:cs="Arial"/>
                <w:sz w:val="20"/>
                <w:szCs w:val="20"/>
              </w:rPr>
              <w:t>č.z</w:t>
            </w:r>
            <w:proofErr w:type="spellEnd"/>
            <w:r w:rsidR="00CC2FB7">
              <w:rPr>
                <w:rFonts w:ascii="Arial" w:hAnsi="Arial" w:cs="Arial"/>
                <w:sz w:val="20"/>
                <w:szCs w:val="20"/>
              </w:rPr>
              <w:t>. 3482/1“ do 31.12.2019.g.</w:t>
            </w:r>
          </w:p>
        </w:tc>
      </w:tr>
      <w:tr w:rsidR="001F1C6D" w:rsidTr="00A35016">
        <w:trPr>
          <w:trHeight w:val="567"/>
        </w:trPr>
        <w:tc>
          <w:tcPr>
            <w:tcW w:w="66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1F1C6D" w:rsidRDefault="001F1C6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1F1C6D" w:rsidRDefault="001A1C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Odvjetnik </w:t>
            </w:r>
          </w:p>
          <w:p w:rsidR="001A1C83" w:rsidRDefault="001A1C8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Antonio Bolanča u ime Eugen-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Toto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Meneghello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iz Hvara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F1C6D" w:rsidRDefault="001F1C6D" w:rsidP="001A1C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Upućuje se primjedba na </w:t>
            </w:r>
            <w:r w:rsidR="001A1C83">
              <w:rPr>
                <w:rFonts w:ascii="Arial" w:hAnsi="Arial" w:cs="Arial"/>
                <w:sz w:val="20"/>
                <w:szCs w:val="20"/>
              </w:rPr>
              <w:t xml:space="preserve">točku 5.2. Plana u Tablici „pripadajuća terasa objekta“ pod red.br. 5. Uvala </w:t>
            </w:r>
            <w:proofErr w:type="spellStart"/>
            <w:r w:rsidR="001A1C83">
              <w:rPr>
                <w:rFonts w:ascii="Arial" w:hAnsi="Arial" w:cs="Arial"/>
                <w:sz w:val="20"/>
                <w:szCs w:val="20"/>
              </w:rPr>
              <w:t>Vinogradišće</w:t>
            </w:r>
            <w:proofErr w:type="spellEnd"/>
            <w:r w:rsidR="001A1C83">
              <w:rPr>
                <w:rFonts w:ascii="Arial" w:hAnsi="Arial" w:cs="Arial"/>
                <w:sz w:val="20"/>
                <w:szCs w:val="20"/>
              </w:rPr>
              <w:t xml:space="preserve"> – ispred k.č.4071/3 i 4107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4DF7">
              <w:rPr>
                <w:rFonts w:ascii="Arial" w:hAnsi="Arial" w:cs="Arial"/>
                <w:sz w:val="20"/>
                <w:szCs w:val="20"/>
              </w:rPr>
              <w:t xml:space="preserve">i red.br. 6.uvala </w:t>
            </w:r>
            <w:proofErr w:type="spellStart"/>
            <w:r w:rsidR="00874DF7">
              <w:rPr>
                <w:rFonts w:ascii="Arial" w:hAnsi="Arial" w:cs="Arial"/>
                <w:sz w:val="20"/>
                <w:szCs w:val="20"/>
              </w:rPr>
              <w:t>Palmižana</w:t>
            </w:r>
            <w:proofErr w:type="spellEnd"/>
            <w:r w:rsidR="00874DF7">
              <w:rPr>
                <w:rFonts w:ascii="Arial" w:hAnsi="Arial" w:cs="Arial"/>
                <w:sz w:val="20"/>
                <w:szCs w:val="20"/>
              </w:rPr>
              <w:t xml:space="preserve"> –ispred k.č.4508</w:t>
            </w:r>
          </w:p>
        </w:tc>
        <w:tc>
          <w:tcPr>
            <w:tcW w:w="387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F1C6D" w:rsidRDefault="00874DF7" w:rsidP="001A1C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Predlaže se ukloniti iz grafičkog prikaza dio lokacije na čestici 4067/1 k.o.Hvar uvala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Vinogradišće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-označen crvenom bojom i na sjevernom dijelu čestice 4067/1 k.o.Hvar i dio nekretnine 4508 označen narančastom bojom, te se predlaže iz popisa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mikrolokacija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pod 5.2. ukloniti uvala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Palmižana</w:t>
            </w:r>
            <w:proofErr w:type="spellEnd"/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874DF7" w:rsidRDefault="00874DF7" w:rsidP="00874D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21CC">
              <w:rPr>
                <w:rFonts w:ascii="Arial" w:hAnsi="Arial" w:cs="Arial"/>
                <w:b/>
                <w:sz w:val="20"/>
                <w:szCs w:val="20"/>
              </w:rPr>
              <w:t>Djelomično se prihvaća i to u dijelu korekcije čestica zemlje</w:t>
            </w:r>
            <w:r w:rsidR="00C95F1C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2" w:name="_GoBack"/>
            <w:bookmarkEnd w:id="2"/>
          </w:p>
          <w:p w:rsidR="0017424F" w:rsidRDefault="00874DF7" w:rsidP="001742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-u uvali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Vinogradišće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nadalje </w:t>
            </w:r>
            <w:r w:rsidR="0017424F">
              <w:rPr>
                <w:rFonts w:ascii="Arial" w:hAnsi="Arial" w:cs="Arial"/>
                <w:sz w:val="20"/>
                <w:szCs w:val="20"/>
              </w:rPr>
              <w:t>u grafičkom dijelu ostaje obilježeno pomo</w:t>
            </w:r>
            <w:r w:rsidR="007922DD">
              <w:rPr>
                <w:rFonts w:ascii="Arial" w:hAnsi="Arial" w:cs="Arial"/>
                <w:sz w:val="20"/>
                <w:szCs w:val="20"/>
              </w:rPr>
              <w:t>rsko dobro za obavljanje planiranih djelatnosti,</w:t>
            </w:r>
            <w:r w:rsidR="001742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22DD">
              <w:rPr>
                <w:rFonts w:ascii="Arial" w:hAnsi="Arial" w:cs="Arial"/>
                <w:sz w:val="20"/>
                <w:szCs w:val="20"/>
              </w:rPr>
              <w:t xml:space="preserve">što čini </w:t>
            </w:r>
            <w:r>
              <w:rPr>
                <w:rFonts w:ascii="Arial" w:hAnsi="Arial" w:cs="Arial"/>
                <w:sz w:val="20"/>
                <w:szCs w:val="20"/>
              </w:rPr>
              <w:t xml:space="preserve"> dio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4068</w:t>
            </w:r>
            <w:r w:rsidR="007922DD">
              <w:rPr>
                <w:rFonts w:ascii="Arial" w:hAnsi="Arial" w:cs="Arial"/>
                <w:sz w:val="20"/>
                <w:szCs w:val="20"/>
              </w:rPr>
              <w:t xml:space="preserve"> tj. pomorsko dobro koje</w:t>
            </w:r>
            <w:r>
              <w:rPr>
                <w:rFonts w:ascii="Arial" w:hAnsi="Arial" w:cs="Arial"/>
                <w:sz w:val="20"/>
                <w:szCs w:val="20"/>
              </w:rPr>
              <w:t xml:space="preserve"> se odnosi na područje ispred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4107, 4108/2, 4071/3, 4069</w:t>
            </w:r>
            <w:r w:rsidR="0017424F">
              <w:rPr>
                <w:rFonts w:ascii="Arial" w:hAnsi="Arial" w:cs="Arial"/>
                <w:sz w:val="20"/>
                <w:szCs w:val="20"/>
              </w:rPr>
              <w:t xml:space="preserve"> i ispred</w:t>
            </w:r>
            <w:r w:rsidR="00EA1426">
              <w:rPr>
                <w:rFonts w:ascii="Arial" w:hAnsi="Arial" w:cs="Arial"/>
                <w:sz w:val="20"/>
                <w:szCs w:val="20"/>
              </w:rPr>
              <w:t xml:space="preserve"> dijela </w:t>
            </w:r>
            <w:proofErr w:type="spellStart"/>
            <w:r w:rsidR="0017424F">
              <w:rPr>
                <w:rFonts w:ascii="Arial" w:hAnsi="Arial" w:cs="Arial"/>
                <w:sz w:val="20"/>
                <w:szCs w:val="20"/>
              </w:rPr>
              <w:t>č.z</w:t>
            </w:r>
            <w:proofErr w:type="spellEnd"/>
            <w:r w:rsidR="0017424F">
              <w:rPr>
                <w:rFonts w:ascii="Arial" w:hAnsi="Arial" w:cs="Arial"/>
                <w:sz w:val="20"/>
                <w:szCs w:val="20"/>
              </w:rPr>
              <w:t>. 4067/1</w:t>
            </w:r>
            <w:r w:rsidR="007922D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A1426" w:rsidRPr="0017424F" w:rsidRDefault="0017424F" w:rsidP="001742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-u uvali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Palmižana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treba stati dio č.z.4068 i to</w:t>
            </w:r>
            <w:r w:rsidR="00EA142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ispred dijela</w:t>
            </w:r>
            <w:r w:rsidR="00EA1426" w:rsidRPr="00EA14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4067/1</w:t>
            </w:r>
            <w:r w:rsidR="00EA1426" w:rsidRPr="00EA14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7922DD">
              <w:rPr>
                <w:rFonts w:ascii="Arial" w:hAnsi="Arial" w:cs="Arial"/>
                <w:sz w:val="20"/>
                <w:szCs w:val="20"/>
              </w:rPr>
              <w:t xml:space="preserve"> dijela </w:t>
            </w:r>
            <w:proofErr w:type="spellStart"/>
            <w:r w:rsidR="007922DD">
              <w:rPr>
                <w:rFonts w:ascii="Arial" w:hAnsi="Arial" w:cs="Arial"/>
                <w:sz w:val="20"/>
                <w:szCs w:val="20"/>
              </w:rPr>
              <w:t>č.z</w:t>
            </w:r>
            <w:proofErr w:type="spellEnd"/>
            <w:r w:rsidR="007922D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4058</w:t>
            </w:r>
            <w:r w:rsidR="00EA1426" w:rsidRPr="00EA14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što čini pomorsko dobro</w:t>
            </w:r>
          </w:p>
        </w:tc>
      </w:tr>
      <w:tr w:rsidR="00E16254" w:rsidTr="00A35016">
        <w:trPr>
          <w:trHeight w:val="567"/>
        </w:trPr>
        <w:tc>
          <w:tcPr>
            <w:tcW w:w="66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E16254" w:rsidRDefault="00EA142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16254" w:rsidRDefault="00EA1426" w:rsidP="00176B0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Odvjetničko društvo Primorac i partneri d.o.o. u ime FLORIANA PARK d.o.o. Split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16254" w:rsidRDefault="001E2D84" w:rsidP="00FA00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Upućuje se primjedba</w:t>
            </w:r>
            <w:r w:rsidR="00C173DF">
              <w:rPr>
                <w:rFonts w:ascii="Arial" w:hAnsi="Arial" w:cs="Arial"/>
                <w:sz w:val="20"/>
                <w:szCs w:val="20"/>
              </w:rPr>
              <w:t xml:space="preserve"> u smislu</w:t>
            </w:r>
            <w:r w:rsidR="00FA00B7">
              <w:rPr>
                <w:rFonts w:ascii="Arial" w:hAnsi="Arial" w:cs="Arial"/>
                <w:sz w:val="20"/>
                <w:szCs w:val="20"/>
              </w:rPr>
              <w:t xml:space="preserve"> nezakonitosti davanja koncesijskih odobrenja na području</w:t>
            </w:r>
            <w:r w:rsidR="00F451D9">
              <w:rPr>
                <w:rFonts w:ascii="Arial" w:hAnsi="Arial" w:cs="Arial"/>
                <w:sz w:val="20"/>
                <w:szCs w:val="20"/>
              </w:rPr>
              <w:t xml:space="preserve"> pomorskog dobra</w:t>
            </w:r>
            <w:r w:rsidR="00FA00B7">
              <w:rPr>
                <w:rFonts w:ascii="Arial" w:hAnsi="Arial" w:cs="Arial"/>
                <w:sz w:val="20"/>
                <w:szCs w:val="20"/>
              </w:rPr>
              <w:t xml:space="preserve"> poluotoka </w:t>
            </w:r>
            <w:proofErr w:type="spellStart"/>
            <w:r w:rsidR="00FA00B7">
              <w:rPr>
                <w:rFonts w:ascii="Arial" w:hAnsi="Arial" w:cs="Arial"/>
                <w:sz w:val="20"/>
                <w:szCs w:val="20"/>
              </w:rPr>
              <w:t>Pelegrin</w:t>
            </w:r>
            <w:proofErr w:type="spellEnd"/>
            <w:r w:rsidR="00FA00B7">
              <w:rPr>
                <w:rFonts w:ascii="Arial" w:hAnsi="Arial" w:cs="Arial"/>
                <w:sz w:val="20"/>
                <w:szCs w:val="20"/>
              </w:rPr>
              <w:t xml:space="preserve"> za vrijeme trajanja Ugovora o </w:t>
            </w:r>
            <w:r w:rsidR="00FA00B7">
              <w:rPr>
                <w:rFonts w:ascii="Arial" w:hAnsi="Arial" w:cs="Arial"/>
                <w:sz w:val="20"/>
                <w:szCs w:val="20"/>
              </w:rPr>
              <w:lastRenderedPageBreak/>
              <w:t>koncesiji pra</w:t>
            </w:r>
            <w:r w:rsidR="005E3A21">
              <w:rPr>
                <w:rFonts w:ascii="Arial" w:hAnsi="Arial" w:cs="Arial"/>
                <w:sz w:val="20"/>
                <w:szCs w:val="20"/>
              </w:rPr>
              <w:t>va lova na području lovišta u vlasništvu države</w:t>
            </w:r>
          </w:p>
        </w:tc>
        <w:tc>
          <w:tcPr>
            <w:tcW w:w="387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FA00B7" w:rsidRDefault="00FA00B7" w:rsidP="00FA00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Traži se  uklanjanje iz prijedloga Plana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mikrolokacije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uvale Vela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Garška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kao i sve druge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mikrolokacije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koje su obuhvaćene granicama koncesijskog ugovora tvrtke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Floriana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park d.o.o. Split tj. Petrov bok, uvale Mala tocila, uvala Vela Tocila,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Pelegrinska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uvala, uvala Gnjiline, uvala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Splica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uvala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uvala Duga i uvala Široka za vrijeme trajanja Ugovora.  Naime, </w:t>
            </w:r>
          </w:p>
          <w:p w:rsidR="00E16254" w:rsidRDefault="00FA00B7" w:rsidP="00FA00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FLORIANA PARK d.o.o. ima sklopljen Ugovor o koncesiji prava lova na lovištu u vlasništvu države za vrijeme od 30 godina i traje do 31.03.2025.g., a koje lovište obuhvaća zapadni dio otoka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Hvara i to s južne strane granica</w:t>
            </w:r>
            <w:r w:rsidR="005E3A21">
              <w:rPr>
                <w:rFonts w:ascii="Arial" w:hAnsi="Arial" w:cs="Arial"/>
                <w:sz w:val="20"/>
                <w:szCs w:val="20"/>
              </w:rPr>
              <w:t xml:space="preserve"> koja</w:t>
            </w:r>
            <w:r>
              <w:rPr>
                <w:rFonts w:ascii="Arial" w:hAnsi="Arial" w:cs="Arial"/>
                <w:sz w:val="20"/>
                <w:szCs w:val="20"/>
              </w:rPr>
              <w:t xml:space="preserve"> ide morskom obalom od uvale Mala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Garška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 rta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Pelegrin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od kojeg se proteže sjeverna granica lovišta koja također ide morskom obalom do uvale Vela Vira. Istočnu granicu lovišta od uvale Vela Vira ispod Širokog brda do uvale Mala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Garška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činit će žičana ograda visine 2m.</w:t>
            </w:r>
          </w:p>
          <w:p w:rsidR="005E3A21" w:rsidRDefault="005E3A21" w:rsidP="00FA00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Planom upravljanja je također navedeno da se koncesijsko odobrenje predlaže za djelatnost ugostiteljstva u montažnom objektu do 12 m2, dok se na lokaciji Vela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Garška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djelatnost obavlja u čvrstom objektu veće kvadrature s dodatnom terasom, a što ne može biti predmetom koncesijskih</w:t>
            </w:r>
            <w:r w:rsidR="000454E0">
              <w:rPr>
                <w:rFonts w:ascii="Arial" w:hAnsi="Arial" w:cs="Arial"/>
                <w:sz w:val="20"/>
                <w:szCs w:val="20"/>
              </w:rPr>
              <w:t xml:space="preserve"> odobrenja već koncesije, te </w:t>
            </w:r>
            <w:r>
              <w:rPr>
                <w:rFonts w:ascii="Arial" w:hAnsi="Arial" w:cs="Arial"/>
                <w:sz w:val="20"/>
                <w:szCs w:val="20"/>
              </w:rPr>
              <w:t xml:space="preserve">stranci time nastaje šteta 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E16254" w:rsidRDefault="00FA01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  <w:r w:rsidR="00564294">
              <w:rPr>
                <w:rFonts w:ascii="Arial" w:hAnsi="Arial" w:cs="Arial"/>
                <w:b/>
                <w:sz w:val="20"/>
                <w:szCs w:val="20"/>
              </w:rPr>
              <w:t>Ne prihvaća se.</w:t>
            </w:r>
          </w:p>
          <w:p w:rsidR="00FA0108" w:rsidRDefault="00FA01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Ugovor o </w:t>
            </w:r>
            <w:r w:rsidR="00F451D9">
              <w:rPr>
                <w:rFonts w:ascii="Arial" w:hAnsi="Arial" w:cs="Arial"/>
                <w:sz w:val="20"/>
                <w:szCs w:val="20"/>
              </w:rPr>
              <w:t xml:space="preserve">koncesiji prava lova ne obuhvaća pravo na korištenje pomorskog dobra, te se navodi o nezakonitosti odbacuju. </w:t>
            </w:r>
          </w:p>
          <w:p w:rsidR="00F451D9" w:rsidRDefault="00FA0108" w:rsidP="00284F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Prostornim planom Grada Hva</w:t>
            </w:r>
            <w:r w:rsidR="00D95A4C">
              <w:rPr>
                <w:rFonts w:ascii="Arial" w:hAnsi="Arial" w:cs="Arial"/>
                <w:sz w:val="20"/>
                <w:szCs w:val="20"/>
              </w:rPr>
              <w:t xml:space="preserve">ra (Sl.gl.Grada Hvara br. </w:t>
            </w:r>
            <w:r>
              <w:rPr>
                <w:rFonts w:ascii="Arial" w:hAnsi="Arial" w:cs="Arial"/>
                <w:sz w:val="20"/>
                <w:szCs w:val="20"/>
              </w:rPr>
              <w:t>02/07</w:t>
            </w:r>
            <w:r w:rsidR="00FA1DD2">
              <w:rPr>
                <w:rFonts w:ascii="Arial" w:hAnsi="Arial" w:cs="Arial"/>
                <w:sz w:val="20"/>
                <w:szCs w:val="20"/>
              </w:rPr>
              <w:t>,09/10 i 05/16</w:t>
            </w:r>
            <w:r w:rsidR="000454E0">
              <w:rPr>
                <w:rFonts w:ascii="Arial" w:hAnsi="Arial" w:cs="Arial"/>
                <w:sz w:val="20"/>
                <w:szCs w:val="20"/>
              </w:rPr>
              <w:t xml:space="preserve"> obilježeno</w:t>
            </w:r>
            <w:r w:rsidR="00D95A4C">
              <w:rPr>
                <w:rFonts w:ascii="Arial" w:hAnsi="Arial" w:cs="Arial"/>
                <w:sz w:val="20"/>
                <w:szCs w:val="20"/>
              </w:rPr>
              <w:t xml:space="preserve"> područje lovišta je </w:t>
            </w:r>
            <w:r w:rsidR="00D95A4C">
              <w:rPr>
                <w:rFonts w:ascii="Arial" w:hAnsi="Arial" w:cs="Arial"/>
                <w:sz w:val="20"/>
                <w:szCs w:val="20"/>
              </w:rPr>
              <w:lastRenderedPageBreak/>
              <w:t>znatno ma</w:t>
            </w:r>
            <w:r w:rsidR="003446D0">
              <w:rPr>
                <w:rFonts w:ascii="Arial" w:hAnsi="Arial" w:cs="Arial"/>
                <w:sz w:val="20"/>
                <w:szCs w:val="20"/>
              </w:rPr>
              <w:t xml:space="preserve">nje od </w:t>
            </w:r>
            <w:r w:rsidR="001921CC">
              <w:rPr>
                <w:rFonts w:ascii="Arial" w:hAnsi="Arial" w:cs="Arial"/>
                <w:sz w:val="20"/>
                <w:szCs w:val="20"/>
              </w:rPr>
              <w:t xml:space="preserve">područja </w:t>
            </w:r>
            <w:r w:rsidR="003446D0">
              <w:rPr>
                <w:rFonts w:ascii="Arial" w:hAnsi="Arial" w:cs="Arial"/>
                <w:sz w:val="20"/>
                <w:szCs w:val="20"/>
              </w:rPr>
              <w:t>naznačenog u  Ugovoru</w:t>
            </w:r>
            <w:r w:rsidR="000454E0">
              <w:rPr>
                <w:rFonts w:ascii="Arial" w:hAnsi="Arial" w:cs="Arial"/>
                <w:sz w:val="20"/>
                <w:szCs w:val="20"/>
              </w:rPr>
              <w:t xml:space="preserve"> – potrebna  revizija</w:t>
            </w:r>
            <w:r w:rsidR="008E2DD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F451D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44058" w:rsidRDefault="00F451D9" w:rsidP="003440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području Vela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Garška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13CC">
              <w:rPr>
                <w:rFonts w:ascii="Arial" w:hAnsi="Arial" w:cs="Arial"/>
                <w:sz w:val="20"/>
                <w:szCs w:val="20"/>
              </w:rPr>
              <w:t xml:space="preserve">odobreno je  uređenje  zapuštenog područja i postojećeg objekta </w:t>
            </w:r>
            <w:r w:rsidR="00CC2FB7">
              <w:rPr>
                <w:rFonts w:ascii="Arial" w:hAnsi="Arial" w:cs="Arial"/>
                <w:sz w:val="20"/>
                <w:szCs w:val="20"/>
              </w:rPr>
              <w:t xml:space="preserve">za obavljanje planirane djelatnosti </w:t>
            </w:r>
            <w:r w:rsidR="00CE13CC">
              <w:rPr>
                <w:rFonts w:ascii="Arial" w:hAnsi="Arial" w:cs="Arial"/>
                <w:sz w:val="20"/>
                <w:szCs w:val="20"/>
              </w:rPr>
              <w:t xml:space="preserve">kroz sustav  koncesijskog odobrenja </w:t>
            </w:r>
            <w:r w:rsidR="000454E0">
              <w:rPr>
                <w:rFonts w:ascii="Arial" w:hAnsi="Arial" w:cs="Arial"/>
                <w:sz w:val="20"/>
                <w:szCs w:val="20"/>
              </w:rPr>
              <w:t>(koncesija zatražena ranije).</w:t>
            </w:r>
          </w:p>
          <w:p w:rsidR="001921CC" w:rsidRDefault="001921CC" w:rsidP="003440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ostalim područjima pomorskog dobra poluotoka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Pelegrin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planirana je uporaba pomorskog dobra</w:t>
            </w:r>
            <w:r w:rsidR="001903B2">
              <w:rPr>
                <w:rFonts w:ascii="Arial" w:hAnsi="Arial" w:cs="Arial"/>
                <w:sz w:val="20"/>
                <w:szCs w:val="20"/>
              </w:rPr>
              <w:t xml:space="preserve"> sukladno</w:t>
            </w:r>
            <w:r w:rsidR="00E372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03B2">
              <w:rPr>
                <w:rFonts w:ascii="Arial" w:hAnsi="Arial" w:cs="Arial"/>
                <w:sz w:val="20"/>
                <w:szCs w:val="20"/>
              </w:rPr>
              <w:t xml:space="preserve">  Regionalnom programu</w:t>
            </w:r>
            <w:r>
              <w:rPr>
                <w:rFonts w:ascii="Arial" w:hAnsi="Arial" w:cs="Arial"/>
                <w:sz w:val="20"/>
                <w:szCs w:val="20"/>
              </w:rPr>
              <w:t xml:space="preserve"> uređenja</w:t>
            </w:r>
            <w:r w:rsidR="00877710">
              <w:rPr>
                <w:rFonts w:ascii="Arial" w:hAnsi="Arial" w:cs="Arial"/>
                <w:sz w:val="20"/>
                <w:szCs w:val="20"/>
              </w:rPr>
              <w:t xml:space="preserve"> i upravljanja</w:t>
            </w:r>
            <w:r>
              <w:rPr>
                <w:rFonts w:ascii="Arial" w:hAnsi="Arial" w:cs="Arial"/>
                <w:sz w:val="20"/>
                <w:szCs w:val="20"/>
              </w:rPr>
              <w:t xml:space="preserve"> plaža</w:t>
            </w:r>
            <w:r w:rsidR="00877710">
              <w:rPr>
                <w:rFonts w:ascii="Arial" w:hAnsi="Arial" w:cs="Arial"/>
                <w:sz w:val="20"/>
                <w:szCs w:val="20"/>
              </w:rPr>
              <w:t xml:space="preserve">ma na području </w:t>
            </w:r>
            <w:r>
              <w:rPr>
                <w:rFonts w:ascii="Arial" w:hAnsi="Arial" w:cs="Arial"/>
                <w:sz w:val="20"/>
                <w:szCs w:val="20"/>
              </w:rPr>
              <w:t xml:space="preserve">SDŽ (Sl.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gl</w:t>
            </w:r>
            <w:r w:rsidR="00877710">
              <w:rPr>
                <w:rFonts w:ascii="Arial" w:hAnsi="Arial" w:cs="Arial"/>
                <w:sz w:val="20"/>
                <w:szCs w:val="20"/>
              </w:rPr>
              <w:t>.SDŽ</w:t>
            </w:r>
            <w:proofErr w:type="spellEnd"/>
            <w:r w:rsidR="00877710">
              <w:rPr>
                <w:rFonts w:ascii="Arial" w:hAnsi="Arial" w:cs="Arial"/>
                <w:sz w:val="20"/>
                <w:szCs w:val="20"/>
              </w:rPr>
              <w:t xml:space="preserve"> br.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03B2">
              <w:rPr>
                <w:rFonts w:ascii="Arial" w:hAnsi="Arial" w:cs="Arial"/>
                <w:sz w:val="20"/>
                <w:szCs w:val="20"/>
              </w:rPr>
              <w:t>85/15 i 11</w:t>
            </w:r>
            <w:r w:rsidR="00877710">
              <w:rPr>
                <w:rFonts w:ascii="Arial" w:hAnsi="Arial" w:cs="Arial"/>
                <w:sz w:val="20"/>
                <w:szCs w:val="20"/>
              </w:rPr>
              <w:t xml:space="preserve">0/17) </w:t>
            </w:r>
          </w:p>
        </w:tc>
      </w:tr>
      <w:tr w:rsidR="00E16254" w:rsidTr="00A35016">
        <w:trPr>
          <w:trHeight w:val="567"/>
        </w:trPr>
        <w:tc>
          <w:tcPr>
            <w:tcW w:w="66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E16254" w:rsidRDefault="00E1625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2DD3" w:rsidRDefault="008E2DD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4.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16254" w:rsidRDefault="008E2D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BORIS BOATS, obrt za usluge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vl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 Viktorija Nižetić, Hvar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16254" w:rsidRDefault="008E2DD3" w:rsidP="001A1C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Primjedba u svezi postave info pulta za iznajmljivanje brodica 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mikrolokaciji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„ispred kuće Matković“</w:t>
            </w:r>
          </w:p>
        </w:tc>
        <w:tc>
          <w:tcPr>
            <w:tcW w:w="387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16254" w:rsidRDefault="00877710" w:rsidP="001A1C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1987.obrt BORIS BOATS obavlja iznajmljivanje</w:t>
            </w:r>
            <w:r w:rsidR="008E2DD3">
              <w:rPr>
                <w:rFonts w:ascii="Arial" w:hAnsi="Arial" w:cs="Arial"/>
                <w:sz w:val="20"/>
                <w:szCs w:val="20"/>
              </w:rPr>
              <w:t xml:space="preserve"> brodica iz obiteljske kuće Matković – uvala U Križa. Traže nekoliko metara svog prostora ispred obiteljske kuće za obavljanje registrirane djelatnosti</w:t>
            </w:r>
            <w:r>
              <w:rPr>
                <w:rFonts w:ascii="Arial" w:hAnsi="Arial" w:cs="Arial"/>
                <w:sz w:val="20"/>
                <w:szCs w:val="20"/>
              </w:rPr>
              <w:t xml:space="preserve"> samostalno a ne s više iznajmljivača koji koriste info pult za obavljanje i drugih djelatnosti koje nisu planirane</w:t>
            </w:r>
            <w:r w:rsidR="008E2DD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E16254" w:rsidRDefault="003440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2FB7">
              <w:rPr>
                <w:rFonts w:ascii="Arial" w:hAnsi="Arial" w:cs="Arial"/>
                <w:b/>
                <w:sz w:val="20"/>
                <w:szCs w:val="20"/>
              </w:rPr>
              <w:t>Prihvaća se</w:t>
            </w:r>
          </w:p>
          <w:p w:rsidR="00CC2FB7" w:rsidRPr="00CC2FB7" w:rsidRDefault="00E34E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Planu pl</w:t>
            </w:r>
            <w:r w:rsidR="00F700F6">
              <w:rPr>
                <w:rFonts w:ascii="Arial" w:hAnsi="Arial" w:cs="Arial"/>
                <w:sz w:val="20"/>
                <w:szCs w:val="20"/>
              </w:rPr>
              <w:t xml:space="preserve">anirane su djelatnosti u točki Plana 5.1. i 5.2. </w:t>
            </w:r>
            <w:r>
              <w:rPr>
                <w:rFonts w:ascii="Arial" w:hAnsi="Arial" w:cs="Arial"/>
                <w:sz w:val="20"/>
                <w:szCs w:val="20"/>
              </w:rPr>
              <w:t>dok će detaljniji raspored biti uređen odlukom gradonačelnika</w:t>
            </w:r>
          </w:p>
        </w:tc>
      </w:tr>
      <w:tr w:rsidR="00E16254" w:rsidTr="00A35016">
        <w:trPr>
          <w:trHeight w:val="567"/>
        </w:trPr>
        <w:tc>
          <w:tcPr>
            <w:tcW w:w="66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E16254" w:rsidRDefault="00E1625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2DD3" w:rsidRDefault="008E2DD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5.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16254" w:rsidRDefault="008E2D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Odvjetničko društvo Primorac i partneri d.o.o. u ime CELANOVA d.o.o. Zagreb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16254" w:rsidRDefault="008E2DD3" w:rsidP="001A1C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Prijedlog za uvrštenjem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mikrolokacije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uvale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Ždrilca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plaža ispred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3917 ispred kuće  u vlasništvu</w:t>
            </w:r>
          </w:p>
        </w:tc>
        <w:tc>
          <w:tcPr>
            <w:tcW w:w="387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16254" w:rsidRDefault="001921CC" w:rsidP="001A1C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Mikrolokacija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ispred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3917 k.o. Hvar u uvali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Ždrilca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bila je u prijašnjim planovima planirana za iznajmljivanje suncobrana i ležaljki prijašnjeg vlasnika FUSCO d.o.o. Hvar, te se predlaže i daljnje planiranje iste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mikrolokacije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za isto obavljanje djelatnosti 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E16254" w:rsidRPr="001921CC" w:rsidRDefault="001921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921CC">
              <w:rPr>
                <w:rFonts w:ascii="Arial" w:hAnsi="Arial" w:cs="Arial"/>
                <w:b/>
                <w:sz w:val="20"/>
                <w:szCs w:val="20"/>
              </w:rPr>
              <w:t>Prihvaća se</w:t>
            </w:r>
            <w:r>
              <w:rPr>
                <w:rFonts w:ascii="Arial" w:hAnsi="Arial" w:cs="Arial"/>
                <w:sz w:val="20"/>
                <w:szCs w:val="20"/>
              </w:rPr>
              <w:t xml:space="preserve"> dodati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mikrolokaciju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za obavljanje tražene djelatnosti 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mikrolokaciji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ispred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3917</w:t>
            </w:r>
            <w:r w:rsidR="001A4517">
              <w:rPr>
                <w:rFonts w:ascii="Arial" w:hAnsi="Arial" w:cs="Arial"/>
                <w:sz w:val="20"/>
                <w:szCs w:val="20"/>
              </w:rPr>
              <w:t xml:space="preserve"> na dijelu </w:t>
            </w:r>
            <w:proofErr w:type="spellStart"/>
            <w:r w:rsidR="001A4517">
              <w:rPr>
                <w:rFonts w:ascii="Arial" w:hAnsi="Arial" w:cs="Arial"/>
                <w:sz w:val="20"/>
                <w:szCs w:val="20"/>
              </w:rPr>
              <w:t>č.z</w:t>
            </w:r>
            <w:proofErr w:type="spellEnd"/>
            <w:r w:rsidR="001A4517">
              <w:rPr>
                <w:rFonts w:ascii="Arial" w:hAnsi="Arial" w:cs="Arial"/>
                <w:sz w:val="20"/>
                <w:szCs w:val="20"/>
              </w:rPr>
              <w:t>. 4039 koja čini pomorsko dobro</w:t>
            </w:r>
            <w:r>
              <w:rPr>
                <w:rFonts w:ascii="Arial" w:hAnsi="Arial" w:cs="Arial"/>
                <w:sz w:val="20"/>
                <w:szCs w:val="20"/>
              </w:rPr>
              <w:t xml:space="preserve"> u uvali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Ždrilca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o.Marinkovac</w:t>
            </w:r>
            <w:proofErr w:type="spellEnd"/>
            <w:r w:rsidRPr="001921C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E16254" w:rsidTr="00A35016">
        <w:trPr>
          <w:trHeight w:val="567"/>
        </w:trPr>
        <w:tc>
          <w:tcPr>
            <w:tcW w:w="66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E16254" w:rsidRDefault="00E1625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21CC" w:rsidRDefault="001921C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607469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E4B71" w:rsidRDefault="007E4B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Ante Miličić </w:t>
            </w:r>
          </w:p>
          <w:p w:rsidR="00E16254" w:rsidRDefault="007E4B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Iz Hvara </w:t>
            </w:r>
            <w:r w:rsidR="009A7F4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16254" w:rsidRDefault="007E4B71" w:rsidP="001A1C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Predlaže stavljanje montažnih objekata do 12m2 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mikrolokacije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ispred Amfore</w:t>
            </w:r>
            <w:r w:rsidR="00323B43">
              <w:rPr>
                <w:rFonts w:ascii="Arial" w:hAnsi="Arial" w:cs="Arial"/>
                <w:sz w:val="20"/>
                <w:szCs w:val="20"/>
              </w:rPr>
              <w:t xml:space="preserve"> na predjelu šetnica</w:t>
            </w:r>
          </w:p>
        </w:tc>
        <w:tc>
          <w:tcPr>
            <w:tcW w:w="387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607469" w:rsidRDefault="00607469" w:rsidP="00836A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Predlaže postavu montažnih objekata po priloženoj fotografiji 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mikrolokaciji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šetnice/ulaza ispred hotela Amfora gdje već postoje dva kioska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9A7F41" w:rsidRDefault="0060746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 p</w:t>
            </w:r>
            <w:r w:rsidR="009A7F41" w:rsidRPr="009A7F41">
              <w:rPr>
                <w:rFonts w:ascii="Arial" w:hAnsi="Arial" w:cs="Arial"/>
                <w:b/>
                <w:sz w:val="20"/>
                <w:szCs w:val="20"/>
              </w:rPr>
              <w:t>rihvaća se</w:t>
            </w:r>
          </w:p>
          <w:p w:rsidR="00E16254" w:rsidRPr="009A7F41" w:rsidRDefault="0060746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Dostavljeni prijedlog nije predmet Plana upravljanja pomorskim dobrom, već Plana davanja javnih površina</w:t>
            </w:r>
            <w:r w:rsidR="009A7F41" w:rsidRPr="009A7F4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7E4B71" w:rsidRPr="009A7F41" w:rsidTr="0021363E">
        <w:trPr>
          <w:trHeight w:val="567"/>
        </w:trPr>
        <w:tc>
          <w:tcPr>
            <w:tcW w:w="66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7E4B71" w:rsidRDefault="007E4B71" w:rsidP="0021363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4B71" w:rsidRDefault="007E4B71" w:rsidP="0021363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7.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E4B71" w:rsidRDefault="007E4B71" w:rsidP="0021363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LUČ, obrt za usluge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vl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. Doroteja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Maroević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Ćaleta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E4B71" w:rsidRDefault="007E4B71" w:rsidP="002136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Primjedba u svezi korekcije čestica zemlje za obavljanje djelatnosti</w:t>
            </w:r>
          </w:p>
        </w:tc>
        <w:tc>
          <w:tcPr>
            <w:tcW w:w="387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E4B71" w:rsidRDefault="007E4B71" w:rsidP="002136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Dosadašnja koncesijska odobrenja obrtu LUČ izdavana su s tekstom „uz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k.č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628 k.o. Hvar“. Naime na čestica 628 odnosi se na obiteljsku zgradu a dosadašnja odobrenja uključivala su i okolno područje zgrade tj. dio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č.z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166/5,166/6 i 166/1 pa se predlaže uvrstiti u Plan i dijelovi navedenih čestica 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7E4B71" w:rsidRDefault="007E4B71" w:rsidP="0021363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A7F41">
              <w:rPr>
                <w:rFonts w:ascii="Arial" w:hAnsi="Arial" w:cs="Arial"/>
                <w:b/>
                <w:sz w:val="20"/>
                <w:szCs w:val="20"/>
              </w:rPr>
              <w:t>Prihvaća se</w:t>
            </w:r>
          </w:p>
          <w:p w:rsidR="007E4B71" w:rsidRPr="009A7F41" w:rsidRDefault="007E4B71" w:rsidP="0021363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Dosadašnja koncesijska odobrenja posebice u grafičkom dijelu uključivala su i dijelove čestica 166/5,166/6 i 166/1</w:t>
            </w:r>
            <w:r w:rsidRPr="009A7F4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7E4B71" w:rsidRPr="009A7F41" w:rsidTr="0021363E">
        <w:trPr>
          <w:trHeight w:val="567"/>
        </w:trPr>
        <w:tc>
          <w:tcPr>
            <w:tcW w:w="66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7E4B71" w:rsidRDefault="007E4B71" w:rsidP="0021363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4B71" w:rsidRDefault="007E4B71" w:rsidP="0021363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607469">
              <w:rPr>
                <w:rFonts w:ascii="Arial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E4B71" w:rsidRDefault="00607469" w:rsidP="0021363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FLIP-FLOP, obrt za usluge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vl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 Ante Lučić iz Hvara</w:t>
            </w:r>
            <w:r w:rsidR="007E4B7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E4B71" w:rsidRDefault="007E4B71" w:rsidP="006074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Primjedba u svezi </w:t>
            </w:r>
            <w:r w:rsidR="00607469">
              <w:rPr>
                <w:rFonts w:ascii="Arial" w:hAnsi="Arial" w:cs="Arial"/>
                <w:sz w:val="20"/>
                <w:szCs w:val="20"/>
              </w:rPr>
              <w:t>uporabe info pulta za iznajmljivanje brodica</w:t>
            </w:r>
          </w:p>
        </w:tc>
        <w:tc>
          <w:tcPr>
            <w:tcW w:w="387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E4B71" w:rsidRDefault="00607469" w:rsidP="002136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Predlaže se obavljanje djelatnosti iznajmljivanja brodica s uporabom jednog obrta na jedan info pult te zaštitu gradskih djelatnika u svezi nelegalnih obavljanja djelatnosti na svim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mikrolokacijama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4B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7E4B71" w:rsidRDefault="00607469" w:rsidP="0021363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Djelomično se prihvaća </w:t>
            </w:r>
          </w:p>
          <w:p w:rsidR="007E4B71" w:rsidRDefault="00607469" w:rsidP="002136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Zbog velikog broja zainteresiranih korisnika za iznajmljivanje brodica nije fizički moguće osigurati djelatnost iznajmljivanja jedan obrt/jedan info pult. Nastojanja će biti usmjerena u smanjivanju broja korisnika na jedan info-pult.</w:t>
            </w:r>
          </w:p>
          <w:p w:rsidR="00607469" w:rsidRPr="009A7F41" w:rsidRDefault="00607469" w:rsidP="0021363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svezi zaštite korisnika koncesijskih odobrenja za odobrene djelatnosti uvelike će se povećati kontrola pa tako i zaštita</w:t>
            </w:r>
          </w:p>
        </w:tc>
      </w:tr>
    </w:tbl>
    <w:p w:rsidR="009964A6" w:rsidRDefault="009964A6" w:rsidP="001F1C6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964A6" w:rsidRDefault="009964A6" w:rsidP="001F1C6D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996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D3D35"/>
    <w:multiLevelType w:val="hybridMultilevel"/>
    <w:tmpl w:val="1C8EB2F6"/>
    <w:lvl w:ilvl="0" w:tplc="60D683D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E29"/>
    <w:rsid w:val="00005E29"/>
    <w:rsid w:val="000454E0"/>
    <w:rsid w:val="000E1F3B"/>
    <w:rsid w:val="0017424F"/>
    <w:rsid w:val="00176B0C"/>
    <w:rsid w:val="001903B2"/>
    <w:rsid w:val="001921CC"/>
    <w:rsid w:val="001A1C83"/>
    <w:rsid w:val="001A4517"/>
    <w:rsid w:val="001E2D84"/>
    <w:rsid w:val="001E62F0"/>
    <w:rsid w:val="001F1C6D"/>
    <w:rsid w:val="00284FF2"/>
    <w:rsid w:val="00291032"/>
    <w:rsid w:val="00300838"/>
    <w:rsid w:val="00323B43"/>
    <w:rsid w:val="00344058"/>
    <w:rsid w:val="003446D0"/>
    <w:rsid w:val="00355DA1"/>
    <w:rsid w:val="00400DF1"/>
    <w:rsid w:val="00436356"/>
    <w:rsid w:val="00525608"/>
    <w:rsid w:val="00564294"/>
    <w:rsid w:val="00586994"/>
    <w:rsid w:val="005E3A21"/>
    <w:rsid w:val="00607469"/>
    <w:rsid w:val="006A025E"/>
    <w:rsid w:val="007922DD"/>
    <w:rsid w:val="00795907"/>
    <w:rsid w:val="007E4B71"/>
    <w:rsid w:val="00836AF8"/>
    <w:rsid w:val="00874DF7"/>
    <w:rsid w:val="00877710"/>
    <w:rsid w:val="00882C3D"/>
    <w:rsid w:val="008E2DD3"/>
    <w:rsid w:val="00956DB8"/>
    <w:rsid w:val="009964A6"/>
    <w:rsid w:val="009A7F41"/>
    <w:rsid w:val="009E3D3E"/>
    <w:rsid w:val="00A35016"/>
    <w:rsid w:val="00AF644C"/>
    <w:rsid w:val="00BF34CF"/>
    <w:rsid w:val="00C173DF"/>
    <w:rsid w:val="00C70F2E"/>
    <w:rsid w:val="00C95F1C"/>
    <w:rsid w:val="00CC2BF7"/>
    <w:rsid w:val="00CC2FB7"/>
    <w:rsid w:val="00CE13CC"/>
    <w:rsid w:val="00D95A4C"/>
    <w:rsid w:val="00DA0044"/>
    <w:rsid w:val="00DB594E"/>
    <w:rsid w:val="00E0429B"/>
    <w:rsid w:val="00E16254"/>
    <w:rsid w:val="00E261AF"/>
    <w:rsid w:val="00E34E2E"/>
    <w:rsid w:val="00E372FA"/>
    <w:rsid w:val="00EA1426"/>
    <w:rsid w:val="00F451D9"/>
    <w:rsid w:val="00F700F6"/>
    <w:rsid w:val="00FA00B7"/>
    <w:rsid w:val="00FA0108"/>
    <w:rsid w:val="00FA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C6D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1F1C6D"/>
    <w:rPr>
      <w:color w:val="0000FF" w:themeColor="hyperlink"/>
      <w:u w:val="single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1F1C6D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A0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A0044"/>
    <w:rPr>
      <w:rFonts w:ascii="Tahoma" w:eastAsiaTheme="minorEastAsia" w:hAnsi="Tahoma" w:cs="Tahoma"/>
      <w:sz w:val="16"/>
      <w:szCs w:val="16"/>
      <w:lang w:eastAsia="zh-CN"/>
    </w:rPr>
  </w:style>
  <w:style w:type="paragraph" w:styleId="Odlomakpopisa">
    <w:name w:val="List Paragraph"/>
    <w:basedOn w:val="Normal"/>
    <w:uiPriority w:val="34"/>
    <w:qFormat/>
    <w:rsid w:val="00874D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C6D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1F1C6D"/>
    <w:rPr>
      <w:color w:val="0000FF" w:themeColor="hyperlink"/>
      <w:u w:val="single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1F1C6D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A0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A0044"/>
    <w:rPr>
      <w:rFonts w:ascii="Tahoma" w:eastAsiaTheme="minorEastAsia" w:hAnsi="Tahoma" w:cs="Tahoma"/>
      <w:sz w:val="16"/>
      <w:szCs w:val="16"/>
      <w:lang w:eastAsia="zh-CN"/>
    </w:rPr>
  </w:style>
  <w:style w:type="paragraph" w:styleId="Odlomakpopisa">
    <w:name w:val="List Paragraph"/>
    <w:basedOn w:val="Normal"/>
    <w:uiPriority w:val="34"/>
    <w:qFormat/>
    <w:rsid w:val="00874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gz.hr/Dokumenti/Savjetovanja_s_javnosc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</cp:lastModifiedBy>
  <cp:revision>5</cp:revision>
  <cp:lastPrinted>2019-02-08T07:20:00Z</cp:lastPrinted>
  <dcterms:created xsi:type="dcterms:W3CDTF">2019-02-08T07:20:00Z</dcterms:created>
  <dcterms:modified xsi:type="dcterms:W3CDTF">2019-02-08T15:59:00Z</dcterms:modified>
</cp:coreProperties>
</file>