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60" w:rsidRPr="009D08B4" w:rsidRDefault="00BF3B60" w:rsidP="00BF3B60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C7175">
        <w:rPr>
          <w:rFonts w:asciiTheme="minorHAnsi" w:hAnsiTheme="minorHAnsi"/>
          <w:b/>
          <w:sz w:val="22"/>
          <w:szCs w:val="22"/>
        </w:rPr>
        <w:t>NADA JELIČIĆ</w:t>
      </w:r>
    </w:p>
    <w:p w:rsidR="00BF3B60" w:rsidRPr="009D08B4" w:rsidRDefault="00BF3B60" w:rsidP="00BF3B60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I.F. BIUNDOVIĆA 2</w:t>
      </w:r>
    </w:p>
    <w:p w:rsidR="00BF3B60" w:rsidRPr="009D08B4" w:rsidRDefault="00BF3B60" w:rsidP="00BF3B60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21450 Hvar</w:t>
      </w:r>
    </w:p>
    <w:p w:rsidR="00BF3B60" w:rsidRPr="009D08B4" w:rsidRDefault="00BF3B60" w:rsidP="00BF3B60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OIB: 59406654399</w:t>
      </w:r>
    </w:p>
    <w:p w:rsidR="00C91365" w:rsidRDefault="00BF3B60" w:rsidP="00C91365">
      <w:pPr>
        <w:rPr>
          <w:rFonts w:ascii="Calibri" w:hAnsi="Calibri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 xml:space="preserve">RNO: </w:t>
      </w:r>
      <w:r w:rsidR="00C91365">
        <w:rPr>
          <w:rFonts w:ascii="Calibri" w:hAnsi="Calibri"/>
          <w:b/>
          <w:sz w:val="22"/>
          <w:szCs w:val="22"/>
        </w:rPr>
        <w:t>01011577969</w:t>
      </w:r>
    </w:p>
    <w:p w:rsidR="00BF3B60" w:rsidRPr="009D08B4" w:rsidRDefault="00BF3B60" w:rsidP="00BF3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Nezavisna vijećnica u Gradskom vijeću Grada Hvara, Kandidacijska lista grupe birača – nositelji</w:t>
      </w:r>
      <w:r w:rsidR="009D08B4" w:rsidRPr="009D08B4">
        <w:rPr>
          <w:rFonts w:asciiTheme="minorHAnsi" w:hAnsiTheme="minorHAnsi"/>
          <w:color w:val="000000" w:themeColor="text1"/>
          <w:sz w:val="22"/>
          <w:szCs w:val="22"/>
        </w:rPr>
        <w:t>ca liste: Nada Jeličić</w:t>
      </w:r>
    </w:p>
    <w:p w:rsidR="003A4073" w:rsidRPr="009D08B4" w:rsidRDefault="003A4073" w:rsidP="00BF3B6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3A4073" w:rsidRPr="009D08B4" w:rsidRDefault="003A4073" w:rsidP="003A4073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PROGRAM RADA ZA MANDATNO RAZDOBLJE 2013.-2017.</w:t>
      </w:r>
    </w:p>
    <w:p w:rsidR="003A4073" w:rsidRPr="009D08B4" w:rsidRDefault="003A4073" w:rsidP="003A4073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A4073" w:rsidRPr="009D08B4" w:rsidRDefault="003A4073" w:rsidP="003A4073">
      <w:pPr>
        <w:tabs>
          <w:tab w:val="left" w:pos="129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:rsidR="003A4073" w:rsidRPr="009D08B4" w:rsidRDefault="003A4073" w:rsidP="003A407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A4073" w:rsidRPr="009D08B4" w:rsidRDefault="003A4073" w:rsidP="003A407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Program rada za mandatno razdoblje 2013.-2017. godine, kao nezavisne članice Gradskog vijeća Grada Hvara, izabrane s Kandidacijske liste grupe birača – nositelji</w:t>
      </w:r>
      <w:r w:rsidR="009D08B4" w:rsidRPr="009D08B4">
        <w:rPr>
          <w:rFonts w:asciiTheme="minorHAnsi" w:hAnsiTheme="minorHAnsi"/>
          <w:color w:val="000000" w:themeColor="text1"/>
          <w:sz w:val="22"/>
          <w:szCs w:val="22"/>
        </w:rPr>
        <w:t>ce liste: Nade Jeličić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BF3B60" w:rsidRPr="009D08B4" w:rsidRDefault="00BF3B60" w:rsidP="00BF3B60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BF3B60" w:rsidRPr="009D08B4" w:rsidRDefault="00BF3B60" w:rsidP="00BF3B60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BF3B60" w:rsidRPr="009D08B4" w:rsidRDefault="00BF3B60" w:rsidP="00BF3B6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A48B5" w:rsidRPr="009D08B4" w:rsidRDefault="00E27B0D" w:rsidP="00E27B0D">
      <w:pPr>
        <w:contextualSpacing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OP</w:t>
      </w:r>
      <w:r w:rsidR="003A4073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ĆI DIO – PROGRAM RADA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NA RAZINI GRADSKOG VIJEĆA</w:t>
      </w:r>
    </w:p>
    <w:p w:rsidR="008A48B5" w:rsidRPr="009D08B4" w:rsidRDefault="008A48B5" w:rsidP="008A48B5">
      <w:pPr>
        <w:ind w:firstLine="720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A48B5" w:rsidRPr="009D08B4" w:rsidRDefault="008A48B5" w:rsidP="008A48B5">
      <w:pPr>
        <w:ind w:firstLine="720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Gradsko vijeće predstavničko je tijelo građana i tijelo lokalne samouprave, koje donosi odluke i akte u okviru prava i dužnosti Grada Hvara, te obavlja i druge poslove u skladu sa Ustavom, zakonom i Statutom.</w:t>
      </w:r>
    </w:p>
    <w:p w:rsidR="008A48B5" w:rsidRPr="009D08B4" w:rsidRDefault="008A48B5" w:rsidP="008A48B5">
      <w:pPr>
        <w:ind w:firstLine="720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Kao gradska vijećnica sudjelujem u radu Gradskog vijeća i u moje opće poslove ubrajaju se svi poslovi Gradskog vijeća koje donosi: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Statut Grada,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Poslovnik o radu,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proračun i odluku o izvršenju proračuna,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godišnje izvješće o izvršenju proračuna,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odluku o privremenom financiranju,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nadzire ukupno materijalno i financijsko poslovanje Grada Hvara,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odluku o promjeni granice Grada Hvara,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donosi odluku o pristupanju izradi prostornih planova kao i njihovih izmjena i dopuna, te, nakon provedene procedure, iste usvaja,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odluku o uvjetima, načinu i postupku gospodarenja nekretninama u vlasništvu Grada, u skladu sa zakonom,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odlučuje o stjecanju i otuđenju pokretnina i nekretnina Grada Hvara čija ukupna vrijednost   prelazi 0,5% iznosa prihoda bez primitaka ostvarenih u godini koja prethodi godini u kojoj se odlučuje o stjecanju i otuđenju pokretnina i nekretnina, odnosno čija je pojedinačna vrijednost veća  od 1.000.000 kuna, 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uređuje ustrojstvo i djelokrug upravnih odjela i službi,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donosi odluku o  kriterijima za ocjenjivanje službenika i načinu provođenja ocjenjivanja,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odlučuje o prijenosu i preuzimanju osnivačkih  prava u skladu sa zakonom,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donosi odluku o osnivanju i prestanku javnih ustanova, ustanova, trgovačkih društava i drugih pravnih osoba, za obavljanje gospodarskih, društvenih, komunalnih i drugih djelatnosti od interesa za  Grad, te odlučuje o njihovim statusnim  promjenama i preoblikovanjima u skladu sa  zakonom, 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daje prethodne suglasnosti na statute  ustanova, ukoliko zakonom ili odlukom o osnivanju nije drugačije propisano,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odlučuje o stjecanju i prijenosu (kupnji i prodaji) dionica odnosno udjela u trgovačkim  društvima ako zakonom, nije drugačije riješeno, 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odlučuje o davanju suglasnosti za zaduživanje pravnim osobama u većinskom izravnom ili neizravnom vlasništvu Grada i o davanju suglasnosti za zaduživanje ustanova kojih je osnivač Grad, 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donosi odluke o potpisivanju sporazuma o suradnji s drugim jedinicama lokalne  samouprave, u skladu sa općim aktom i zakonom,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raspisuje lokalni referendum,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bira i razrješava predsjednika i potpredsjednike Gradskog vijeća,  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bira i razrješava predsjednike i članove radnih tijela Gradskog vijeća,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odlučuje o davanju koncesija kad je to određeno zakonom,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odlučuje o pokroviteljstvu,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donosi odluku o kriterijima, načinu i postupku za dodjelu javnih priznanja i dodjeljuje javna priznanja, 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imenuje i razrješava i druge osobe određene zakonom, ovim Statutom i posebnim odlukama Gradskog vijeća,</w:t>
      </w:r>
    </w:p>
    <w:p w:rsidR="008A48B5" w:rsidRPr="009D08B4" w:rsidRDefault="008A48B5" w:rsidP="008A48B5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hanging="153"/>
        <w:contextualSpacing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donosi odluke i druge opće akte koji su mu stavljeni u djelokrug zakonom i podzakonskim aktima.</w:t>
      </w:r>
    </w:p>
    <w:p w:rsidR="008A48B5" w:rsidRPr="009D08B4" w:rsidRDefault="008A48B5" w:rsidP="008A48B5">
      <w:pPr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A48B5" w:rsidRPr="009D08B4" w:rsidRDefault="008A48B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A48B5" w:rsidRPr="009D08B4" w:rsidRDefault="008A48B5" w:rsidP="008A48B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A48B5" w:rsidRPr="009D08B4" w:rsidRDefault="008A48B5" w:rsidP="008A48B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E27B0D" w:rsidRPr="009D08B4" w:rsidRDefault="00E27B0D" w:rsidP="00E27B0D">
      <w:pPr>
        <w:pStyle w:val="StandardWeb"/>
        <w:shd w:val="clear" w:color="auto" w:fill="FFFFFF"/>
        <w:spacing w:before="0" w:after="0"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POSEBNI DIO – PROGRA</w:t>
      </w:r>
      <w:r w:rsidR="003A4073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M AKTIVNOSTI</w:t>
      </w:r>
      <w:r w:rsidR="00BF3B60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IZ 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SAMOUPRAVNOG DJELOKRUGA</w:t>
      </w:r>
    </w:p>
    <w:p w:rsidR="00E27B0D" w:rsidRPr="009D08B4" w:rsidRDefault="00E27B0D" w:rsidP="00E27B0D">
      <w:pPr>
        <w:pStyle w:val="StandardWeb"/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> Vezano za samouprav</w:t>
      </w:r>
      <w:r w:rsidR="00BF3B60" w:rsidRPr="009D08B4">
        <w:rPr>
          <w:rFonts w:asciiTheme="minorHAnsi" w:hAnsiTheme="minorHAnsi"/>
          <w:color w:val="000000" w:themeColor="text1"/>
          <w:sz w:val="22"/>
          <w:szCs w:val="22"/>
        </w:rPr>
        <w:t>ni djelokrug  nezavisna vijećnica 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obavlja poslove lokalnog značaja kojima se neposredno ostvaruju potrebe građana, a nisu Ustavom ili zakonom dodijeljeni državnim tijelima, </w:t>
      </w:r>
      <w:r w:rsidR="00BF3B60" w:rsidRPr="009D08B4">
        <w:rPr>
          <w:rFonts w:asciiTheme="minorHAnsi" w:hAnsiTheme="minorHAnsi"/>
          <w:color w:val="000000" w:themeColor="text1"/>
          <w:sz w:val="22"/>
          <w:szCs w:val="22"/>
        </w:rPr>
        <w:t>te su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vezan</w:t>
      </w:r>
      <w:r w:rsidR="00BF3B60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za aktivnosti  poticanja, te stvaranja u</w:t>
      </w:r>
      <w:r w:rsidR="00B46DBF" w:rsidRPr="009D08B4">
        <w:rPr>
          <w:rFonts w:asciiTheme="minorHAnsi" w:hAnsiTheme="minorHAnsi"/>
          <w:color w:val="000000" w:themeColor="text1"/>
          <w:sz w:val="22"/>
          <w:szCs w:val="22"/>
        </w:rPr>
        <w:t>vjeta u raznim područjima života građana grada Hvara.</w:t>
      </w:r>
    </w:p>
    <w:p w:rsidR="00B46DBF" w:rsidRPr="009D08B4" w:rsidRDefault="00B46DBF" w:rsidP="003A407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Nezavisna lista</w:t>
      </w:r>
      <w:r w:rsidR="00BF3B60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-</w:t>
      </w:r>
      <w:r w:rsidR="00BF3B60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F3B60" w:rsidRPr="009D08B4">
        <w:rPr>
          <w:rFonts w:asciiTheme="minorHAnsi" w:hAnsiTheme="minorHAnsi"/>
          <w:b/>
          <w:color w:val="000000" w:themeColor="text1"/>
          <w:sz w:val="22"/>
          <w:szCs w:val="22"/>
        </w:rPr>
        <w:t>Kandidacijska lista grupe birača – nositelji</w:t>
      </w:r>
      <w:r w:rsidR="009D08B4" w:rsidRPr="009D08B4">
        <w:rPr>
          <w:rFonts w:asciiTheme="minorHAnsi" w:hAnsiTheme="minorHAnsi"/>
          <w:b/>
          <w:color w:val="000000" w:themeColor="text1"/>
          <w:sz w:val="22"/>
          <w:szCs w:val="22"/>
        </w:rPr>
        <w:t>ca liste: Nada Jeličić</w:t>
      </w:r>
      <w:r w:rsidR="003A4073" w:rsidRPr="009D08B4">
        <w:rPr>
          <w:rFonts w:asciiTheme="minorHAnsi" w:hAnsiTheme="minorHAnsi"/>
          <w:b/>
          <w:color w:val="000000" w:themeColor="text1"/>
          <w:sz w:val="22"/>
          <w:szCs w:val="22"/>
        </w:rPr>
        <w:t>,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a time i nezavisna  vijećnica </w:t>
      </w:r>
      <w:r w:rsidR="003A4073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Nada Jeličić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 u mandatu 2013.-2017g. ( program je istovjetan za svaku pojedinačnu godinu) posebno </w:t>
      </w:r>
      <w:r w:rsidR="003A4073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se zalaže za</w:t>
      </w:r>
      <w:r w:rsidRPr="009D08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: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vjerodostojnost,ozbiljnost i odgovornost 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za javno izgovorenu riječ i djela koja je slijede, realnost u pristupu, predan i ozbiljan rad i pravodobno informiranje javnosti o svim bitnim pitanjima.  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rad na općem dobru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i stavljanje interesa Grada i građana iznad svih drugih interesa.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kvartalno informiranje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naših građana o djelovanju Gradskog vijeća i odlukama koje se donose, te o njihovom provođenju putem klasičnih i novih medija, te javnih tribina.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suradni</w:t>
      </w:r>
      <w:proofErr w:type="spellStart"/>
      <w:r w:rsidR="00BF3B60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en-US"/>
        </w:rPr>
        <w:t>čku</w:t>
      </w:r>
      <w:proofErr w:type="spellEnd"/>
      <w:r w:rsidR="00BF3B60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(participativnu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) demokracij</w:t>
      </w:r>
      <w:r w:rsidR="00A332DB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u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koja pridonosi oblikovanju aktivnih i svjesnih građana.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aktivnije uključivanje mladih u javni život grada preko Gradskog savjeta mladih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Grada Hvara kao savjetodavno</w:t>
      </w:r>
      <w:r w:rsidR="00B46DBF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>g tijela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Gradskog vijeća.</w:t>
      </w:r>
    </w:p>
    <w:p w:rsidR="00A332DB" w:rsidRPr="009D08B4" w:rsidRDefault="00A332DB" w:rsidP="00A332DB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d</w:t>
      </w:r>
      <w:r w:rsidR="00B46DBF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ovršenje i provođenje strategije razvoja</w:t>
      </w:r>
      <w:r w:rsidR="00B46DBF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Grada Hvara u kojem će biti razrađen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koncept razvoja turizma koji će osigurati pretpostavke za uspostavljanje trajne privlačnosti grada kao turističke destinacije i poboljšavanje njegove konkurentske sposobnosti na međunarodnom turističkom tržištu, omogućavajući kontinuirani rast blagostanja stanovnika i korištenje resursne osnove na načelima održivog razvoja.</w:t>
      </w:r>
    </w:p>
    <w:p w:rsidR="00374740" w:rsidRPr="009D08B4" w:rsidRDefault="0081072D" w:rsidP="00A332DB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  <w:lang w:val="hr-BA"/>
        </w:rPr>
        <w:t>povezivanje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turističkih zajednica</w:t>
      </w:r>
      <w:r w:rsidR="00A332DB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na razini cijelog otoka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radi zajedničkog nastupa prema emitivnim tržištima. U taj proces uključiti sve relevantne gospodarske subjekte otoka, hotelijere, obrtnike, iznajmljivače i dr.  </w:t>
      </w:r>
    </w:p>
    <w:p w:rsidR="00374740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lastRenderedPageBreak/>
        <w:t xml:space="preserve">uključivanje u turističke tijekove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i sva naselja koja pripadaju gradu Hvaru, koja sa svojim prirodnim, kulturološkim i drugim atraktivnostima moraju postati sastavni dio turističkog proizvoda, koja će svaki gost željeti posjetiti. U mnoštvu istovrsne i jednolične ponude valja pronaći nešto po čemu će svako naselje postati jedinstveno u svojoj ponudi. </w:t>
      </w:r>
    </w:p>
    <w:p w:rsidR="00374740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o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rijentacij</w:t>
      </w:r>
      <w:r w:rsidR="00B46DBF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u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ka ruralnom turizmu preko  Etno Eko sela. </w:t>
      </w:r>
    </w:p>
    <w:p w:rsidR="00374740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p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oticanje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razvoja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zdravstvenih i rekreativnih sadržaja u turizmu, kongresnog , eko turizma . </w:t>
      </w:r>
    </w:p>
    <w:p w:rsidR="00374740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o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snivanje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kompetentnog 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>managementa u kulturi koji bi objedinio i definirao upravljanje svim kulturnim dobrima u cilju implementacije u turističku ponudu.</w:t>
      </w:r>
    </w:p>
    <w:p w:rsidR="00374740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o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dvajanje od županijskog, osnivanje i izgradnja hvarskog Doma zdravlja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koji bi u svom sastavu imao obiteljsku (opću) medicinu, stomatološku zdravstvenu zaštitu, zdravstvenu zaštitu žena, dojenčadi i predškolske djece i starijih osoba, zaštitu mentalnog zdravlja i patronažnu zdravstvenu zaštitu, medicinu rada, zdravstvenu njegu, palijativnu skrb bolesnika, laboratorijsku, radiološku i drugu dijagnostiku </w:t>
      </w:r>
    </w:p>
    <w:p w:rsidR="00374740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v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raćanje hitne medicinske pomoći i fizikalne terapije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</w:t>
      </w:r>
    </w:p>
    <w:p w:rsidR="00134336" w:rsidRPr="009D08B4" w:rsidRDefault="00A332DB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izgradnju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 Doma za starije i nemoćne osobe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Dom za starije i nemoćne </w:t>
      </w:r>
    </w:p>
    <w:p w:rsidR="00374740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s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ervis za starije i nemoćne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u njihovim kućama. </w:t>
      </w:r>
    </w:p>
    <w:p w:rsidR="00374740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r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azvoj zdravstvenog turizma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( postojeći Dom zdravlja preurediti i prenamijeniti u tu svrhu) putem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</w:rPr>
        <w:t>talasoterapije ( terapija na bazi tople morske vode)  koja čini osnovu zdravstvenog turizma na moru, zatim medicinski programirani aktivni odmor i wellness ( aromaterapije, morski ekstrakti, autohtona esencijalna ulja i ekstrakti autohtonih ljekovitih bilja u kombinaciji sa zdravom hranom).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</w:p>
    <w:p w:rsidR="00B46DBF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p</w:t>
      </w:r>
      <w:r w:rsidR="00B46DBF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ovećanje naknade za novorođenu djecu</w:t>
      </w:r>
      <w:r w:rsidR="00B46DBF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s progresivnim rastom za drugo, treće i svako sljedeće dijete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iskorištavanje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financijskih i poslovnih prilika koje nam se otvaraju kroz EU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fondove</w:t>
      </w:r>
      <w:r w:rsidRPr="009D08B4">
        <w:rPr>
          <w:rFonts w:asciiTheme="minorHAnsi" w:hAnsiTheme="minorHAnsi"/>
          <w:i/>
          <w:iCs/>
          <w:color w:val="000000" w:themeColor="text1"/>
          <w:sz w:val="22"/>
          <w:szCs w:val="22"/>
          <w:lang w:val="hr-BA"/>
        </w:rPr>
        <w:t xml:space="preserve"> 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>a kojima bi se mogli financirati mnogi projekti, spomenici, zgrade i prostori od značaja za grad (Fortica, Arsenal, Sv Marko, Pjaca, Veneranda,  palača Vukašinović, Knjižnica – Multimedijalni centar, Sportski centar, Starački dom)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ulaganje u edukaciju ljudskog potencijala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radi  stjecanja potrebnih znanja za efikasno povlačenje sredstava iz EU fondova</w:t>
      </w:r>
    </w:p>
    <w:p w:rsidR="00374740" w:rsidRPr="009D08B4" w:rsidRDefault="0081072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osiguranje stavke u proračunu za pripremu i provedbu projekata 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>EU fondova, tehničke pomoći i sufinanciranja razvojnih projekata.</w:t>
      </w:r>
    </w:p>
    <w:p w:rsidR="00B46DBF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i</w:t>
      </w:r>
      <w:r w:rsidR="00B46DBF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zgradnju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 Srednje škole Hvar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po već gotovom projektu, kao i igralište uz zgradu Osnovne škol</w:t>
      </w:r>
      <w:r w:rsidR="00B46DBF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>e</w:t>
      </w:r>
    </w:p>
    <w:p w:rsidR="00374740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 a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dekvatno privremeno rješenje za smještaj Gradske knjižnice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smatramo prioritetom i imamo nekoliko alternativa od kojih ćemo optimalnu odabrati uz suradnju Partnerskog odbora.</w:t>
      </w:r>
    </w:p>
    <w:p w:rsidR="00374740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p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laniranje sportskog centra 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na poziciji kod teniskih terena i definiranje modela financiranja. </w:t>
      </w:r>
    </w:p>
    <w:p w:rsidR="00374740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r</w:t>
      </w:r>
      <w:r w:rsidR="00B46DBF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ealizaciju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 xml:space="preserve"> projekta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- 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Multimedijalni centar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koji bi osigurao društvene prostorije za građane svih dobnih skupina, kino dvoranu i prostor za Knjižnicu. </w:t>
      </w:r>
    </w:p>
    <w:p w:rsidR="00374740" w:rsidRPr="009D08B4" w:rsidRDefault="000C67CD" w:rsidP="00B46DBF">
      <w:pPr>
        <w:pStyle w:val="StandardWeb"/>
        <w:numPr>
          <w:ilvl w:val="0"/>
          <w:numId w:val="2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z</w:t>
      </w:r>
      <w:r w:rsidR="0081072D" w:rsidRPr="009D08B4">
        <w:rPr>
          <w:rFonts w:asciiTheme="minorHAnsi" w:hAnsiTheme="minorHAnsi"/>
          <w:b/>
          <w:bCs/>
          <w:color w:val="000000" w:themeColor="text1"/>
          <w:sz w:val="22"/>
          <w:szCs w:val="22"/>
        </w:rPr>
        <w:t>alaganje i sudjelovanje u radu ureda LAG-a ŠKOJI</w:t>
      </w:r>
      <w:r w:rsidR="0081072D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i putem istog poticanje projekata za male i srednje poduzetnike i one u funkciji javno privatnog partnerstva , poljoprivrednike, za projekte podizanja kvalitete života i jačanja udruga, za projekte od važnosti za grad u domeni manjih infrastrukturnih zahvata (protupožarni putevi, fekalna odvodnja, nerazvrstane ceste i slično) </w:t>
      </w:r>
    </w:p>
    <w:p w:rsidR="000C67CD" w:rsidRPr="009D08B4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komunikaciju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sa građanima Grada Hvara i artikuliranje njihovih problema kroz pitanja vijećnika na sjednicama Gradskog vijeća Grada Hvara.</w:t>
      </w:r>
    </w:p>
    <w:p w:rsidR="000C67CD" w:rsidRPr="009D08B4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djelovanja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kroz održavanje skupova, tribina i prigodnih domjenaka, a sve u cilju promicanja i ostvarivanja programskih ciljeva za razdoblje 2013.-2017.</w:t>
      </w:r>
    </w:p>
    <w:p w:rsidR="000C67CD" w:rsidRPr="009D08B4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t>političku promidžbu i djelovanja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kroz tiskanje letaka, brošura i oglašavanje u medijima, a sve u cilju promicanja i ostvarivanja programskih ciljeva za mandatno razdoblje 2013.-2017 godine</w:t>
      </w:r>
    </w:p>
    <w:p w:rsidR="000C67CD" w:rsidRPr="009D08B4" w:rsidRDefault="000C67CD" w:rsidP="000C67C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odlaske </w:t>
      </w:r>
      <w:r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na seminare, savjetovanja i simpozije radi kvalitetnog educiranja u svrhu kompetentnijeg  političkog djelovanja </w:t>
      </w:r>
    </w:p>
    <w:p w:rsidR="000C67CD" w:rsidRPr="009D08B4" w:rsidRDefault="000C67CD" w:rsidP="000C67CD">
      <w:pPr>
        <w:pStyle w:val="StandardWeb"/>
        <w:shd w:val="clear" w:color="auto" w:fill="FFFFFF"/>
        <w:spacing w:line="212" w:lineRule="atLeast"/>
        <w:ind w:left="72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B46DBF" w:rsidRPr="009D08B4" w:rsidRDefault="00B46DBF" w:rsidP="00B46DBF">
      <w:pPr>
        <w:pStyle w:val="StandardWeb"/>
        <w:shd w:val="clear" w:color="auto" w:fill="FFFFFF"/>
        <w:spacing w:line="212" w:lineRule="atLeast"/>
        <w:ind w:left="720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hr-BA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> </w:t>
      </w:r>
      <w:r w:rsidRPr="009D08B4">
        <w:rPr>
          <w:rFonts w:asciiTheme="minorHAnsi" w:hAnsiTheme="minorHAnsi"/>
          <w:b/>
          <w:color w:val="000000" w:themeColor="text1"/>
          <w:sz w:val="22"/>
          <w:szCs w:val="22"/>
          <w:lang w:val="hr-BA"/>
        </w:rPr>
        <w:t xml:space="preserve">Posebno je </w:t>
      </w:r>
      <w:r w:rsidRPr="009D08B4">
        <w:rPr>
          <w:rFonts w:asciiTheme="minorHAnsi" w:hAnsiTheme="minorHAnsi"/>
          <w:b/>
          <w:bCs/>
          <w:color w:val="000000" w:themeColor="text1"/>
          <w:sz w:val="22"/>
          <w:szCs w:val="22"/>
          <w:lang w:val="hr-BA"/>
        </w:rPr>
        <w:t>važno</w:t>
      </w:r>
      <w:r w:rsidRPr="009D08B4">
        <w:rPr>
          <w:rFonts w:asciiTheme="minorHAnsi" w:hAnsiTheme="minorHAnsi"/>
          <w:b/>
          <w:color w:val="000000" w:themeColor="text1"/>
          <w:sz w:val="22"/>
          <w:szCs w:val="22"/>
          <w:lang w:val="hr-BA"/>
        </w:rPr>
        <w:t xml:space="preserve"> ojačati kapacitete organizacija za osmišljavanje projektnih ideja, ispunjavanje detaljnih projektnih prijava, učinkovitu provedbu projekata te stvaranje partnerske i informacijske mreže za uspješno</w:t>
      </w:r>
      <w:r w:rsidRPr="009D08B4">
        <w:rPr>
          <w:rFonts w:asciiTheme="minorHAnsi" w:hAnsiTheme="minorHAnsi"/>
          <w:color w:val="000000" w:themeColor="text1"/>
          <w:sz w:val="22"/>
          <w:szCs w:val="22"/>
          <w:lang w:val="hr-BA"/>
        </w:rPr>
        <w:t xml:space="preserve"> upravljanje EU projektima.</w:t>
      </w:r>
    </w:p>
    <w:p w:rsidR="000C67CD" w:rsidRPr="009D08B4" w:rsidRDefault="000C67CD" w:rsidP="00B46DBF">
      <w:pPr>
        <w:pStyle w:val="StandardWeb"/>
        <w:shd w:val="clear" w:color="auto" w:fill="FFFFFF"/>
        <w:spacing w:line="212" w:lineRule="atLeast"/>
        <w:ind w:left="72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0C67CD" w:rsidRPr="009D08B4" w:rsidRDefault="000C67CD" w:rsidP="006C7175">
      <w:pPr>
        <w:pStyle w:val="StandardWeb"/>
        <w:shd w:val="clear" w:color="auto" w:fill="FFFFFF"/>
        <w:tabs>
          <w:tab w:val="left" w:pos="7014"/>
        </w:tabs>
        <w:spacing w:line="212" w:lineRule="atLeast"/>
        <w:ind w:left="720"/>
        <w:jc w:val="righ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ab/>
        <w:t>Nezavisna vijećnica</w:t>
      </w:r>
    </w:p>
    <w:p w:rsidR="000C67CD" w:rsidRPr="009D08B4" w:rsidRDefault="006C7175" w:rsidP="006C7175">
      <w:pPr>
        <w:pStyle w:val="StandardWeb"/>
        <w:shd w:val="clear" w:color="auto" w:fill="FFFFFF"/>
        <w:tabs>
          <w:tab w:val="left" w:pos="7014"/>
        </w:tabs>
        <w:spacing w:line="212" w:lineRule="atLeast"/>
        <w:ind w:left="720"/>
        <w:jc w:val="righ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D08B4">
        <w:rPr>
          <w:rFonts w:asciiTheme="minorHAnsi" w:hAnsiTheme="minorHAnsi"/>
          <w:color w:val="000000" w:themeColor="text1"/>
          <w:sz w:val="22"/>
          <w:szCs w:val="22"/>
        </w:rPr>
        <w:tab/>
        <w:t xml:space="preserve">   </w:t>
      </w:r>
      <w:r w:rsidR="000C67CD" w:rsidRPr="009D08B4">
        <w:rPr>
          <w:rFonts w:asciiTheme="minorHAnsi" w:hAnsiTheme="minorHAnsi"/>
          <w:color w:val="000000" w:themeColor="text1"/>
          <w:sz w:val="22"/>
          <w:szCs w:val="22"/>
        </w:rPr>
        <w:t xml:space="preserve"> Nada Jeličić</w:t>
      </w:r>
    </w:p>
    <w:p w:rsidR="00B46DBF" w:rsidRPr="006C7175" w:rsidRDefault="00B46DBF" w:rsidP="00B46DBF">
      <w:pPr>
        <w:pStyle w:val="StandardWeb"/>
        <w:shd w:val="clear" w:color="auto" w:fill="FFFFFF"/>
        <w:spacing w:line="212" w:lineRule="atLeast"/>
        <w:textAlignment w:val="baseline"/>
        <w:rPr>
          <w:rFonts w:asciiTheme="minorHAnsi" w:hAnsiTheme="minorHAnsi"/>
          <w:color w:val="444444"/>
          <w:sz w:val="22"/>
          <w:szCs w:val="22"/>
        </w:rPr>
      </w:pPr>
      <w:r w:rsidRPr="006C7175">
        <w:rPr>
          <w:rFonts w:asciiTheme="minorHAnsi" w:hAnsiTheme="minorHAnsi"/>
          <w:color w:val="444444"/>
          <w:sz w:val="22"/>
          <w:szCs w:val="22"/>
          <w:lang w:val="hr-BA"/>
        </w:rPr>
        <w:t> </w:t>
      </w:r>
    </w:p>
    <w:p w:rsidR="00B46DBF" w:rsidRPr="00B46DBF" w:rsidRDefault="00B46DBF" w:rsidP="00B46DBF">
      <w:pPr>
        <w:pStyle w:val="StandardWeb"/>
        <w:shd w:val="clear" w:color="auto" w:fill="FFFFFF"/>
        <w:spacing w:line="212" w:lineRule="atLeast"/>
        <w:textAlignment w:val="baseline"/>
        <w:rPr>
          <w:color w:val="444444"/>
          <w:sz w:val="22"/>
          <w:szCs w:val="22"/>
        </w:rPr>
      </w:pPr>
    </w:p>
    <w:p w:rsidR="00E27B0D" w:rsidRDefault="00E27B0D" w:rsidP="00E27B0D">
      <w:pPr>
        <w:pStyle w:val="StandardWeb"/>
        <w:shd w:val="clear" w:color="auto" w:fill="FFFFFF"/>
        <w:spacing w:line="212" w:lineRule="atLeast"/>
        <w:textAlignment w:val="baseline"/>
        <w:rPr>
          <w:rFonts w:ascii="Helvetica" w:hAnsi="Helvetica"/>
          <w:color w:val="444444"/>
          <w:sz w:val="12"/>
          <w:szCs w:val="12"/>
        </w:rPr>
      </w:pPr>
      <w:r>
        <w:rPr>
          <w:rFonts w:ascii="Helvetica" w:hAnsi="Helvetica"/>
          <w:color w:val="444444"/>
          <w:sz w:val="12"/>
          <w:szCs w:val="12"/>
        </w:rPr>
        <w:t> </w:t>
      </w:r>
    </w:p>
    <w:p w:rsidR="00E27B0D" w:rsidRDefault="00E27B0D" w:rsidP="00E27B0D">
      <w:pPr>
        <w:pStyle w:val="StandardWeb"/>
        <w:shd w:val="clear" w:color="auto" w:fill="FFFFFF"/>
        <w:spacing w:line="212" w:lineRule="atLeast"/>
        <w:textAlignment w:val="baseline"/>
        <w:rPr>
          <w:rFonts w:ascii="Helvetica" w:hAnsi="Helvetica"/>
          <w:color w:val="444444"/>
          <w:sz w:val="12"/>
          <w:szCs w:val="12"/>
        </w:rPr>
      </w:pPr>
    </w:p>
    <w:p w:rsidR="002520F2" w:rsidRPr="008A48B5" w:rsidRDefault="002520F2" w:rsidP="00E27B0D">
      <w:pPr>
        <w:rPr>
          <w:b/>
        </w:rPr>
      </w:pPr>
    </w:p>
    <w:sectPr w:rsidR="002520F2" w:rsidRPr="008A48B5" w:rsidSect="0025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17" w:rsidRDefault="003A4F17" w:rsidP="00B46DBF">
      <w:r>
        <w:separator/>
      </w:r>
    </w:p>
  </w:endnote>
  <w:endnote w:type="continuationSeparator" w:id="0">
    <w:p w:rsidR="003A4F17" w:rsidRDefault="003A4F17" w:rsidP="00B4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17" w:rsidRDefault="003A4F17" w:rsidP="00B46DBF">
      <w:r>
        <w:separator/>
      </w:r>
    </w:p>
  </w:footnote>
  <w:footnote w:type="continuationSeparator" w:id="0">
    <w:p w:rsidR="003A4F17" w:rsidRDefault="003A4F17" w:rsidP="00B46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0FC"/>
    <w:multiLevelType w:val="hybridMultilevel"/>
    <w:tmpl w:val="9236ACB4"/>
    <w:lvl w:ilvl="0" w:tplc="F7B44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1D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A7F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04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27D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42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A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8F8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2C5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751D7"/>
    <w:multiLevelType w:val="hybridMultilevel"/>
    <w:tmpl w:val="BD32CD58"/>
    <w:lvl w:ilvl="0" w:tplc="2E7A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6F2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80F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0D0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2AA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2AD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C07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C5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6F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4132A"/>
    <w:multiLevelType w:val="hybridMultilevel"/>
    <w:tmpl w:val="AD60C9E4"/>
    <w:lvl w:ilvl="0" w:tplc="C7628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26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0CD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A2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0D6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6E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000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012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A1C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54720"/>
    <w:multiLevelType w:val="hybridMultilevel"/>
    <w:tmpl w:val="1FBE2934"/>
    <w:lvl w:ilvl="0" w:tplc="D7F21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84CBF"/>
    <w:multiLevelType w:val="hybridMultilevel"/>
    <w:tmpl w:val="B9545F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4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6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82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49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CE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0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E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CD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31328C"/>
    <w:multiLevelType w:val="hybridMultilevel"/>
    <w:tmpl w:val="CF7A0C00"/>
    <w:lvl w:ilvl="0" w:tplc="AB2EAB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1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81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62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832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6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E1C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E6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840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8344E"/>
    <w:multiLevelType w:val="hybridMultilevel"/>
    <w:tmpl w:val="B76AF3BE"/>
    <w:lvl w:ilvl="0" w:tplc="473E8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8B6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2E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26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4E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491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2D0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E42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A9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21E9D"/>
    <w:multiLevelType w:val="hybridMultilevel"/>
    <w:tmpl w:val="354C1D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8B5"/>
    <w:rsid w:val="0007572D"/>
    <w:rsid w:val="00080059"/>
    <w:rsid w:val="000C67CD"/>
    <w:rsid w:val="00134336"/>
    <w:rsid w:val="00194DE8"/>
    <w:rsid w:val="001C0D4E"/>
    <w:rsid w:val="001E28D5"/>
    <w:rsid w:val="002367C0"/>
    <w:rsid w:val="002436D1"/>
    <w:rsid w:val="002520F2"/>
    <w:rsid w:val="0025716B"/>
    <w:rsid w:val="002B51BB"/>
    <w:rsid w:val="002E4349"/>
    <w:rsid w:val="00374740"/>
    <w:rsid w:val="003A4073"/>
    <w:rsid w:val="003A4F17"/>
    <w:rsid w:val="003A64D8"/>
    <w:rsid w:val="003B02D3"/>
    <w:rsid w:val="003F1FB1"/>
    <w:rsid w:val="004E7605"/>
    <w:rsid w:val="00565582"/>
    <w:rsid w:val="005672C1"/>
    <w:rsid w:val="005C53EB"/>
    <w:rsid w:val="006C7175"/>
    <w:rsid w:val="006F0937"/>
    <w:rsid w:val="00701F83"/>
    <w:rsid w:val="007114FC"/>
    <w:rsid w:val="007419D2"/>
    <w:rsid w:val="0081072D"/>
    <w:rsid w:val="008311FF"/>
    <w:rsid w:val="008A3BE7"/>
    <w:rsid w:val="008A48B5"/>
    <w:rsid w:val="008B2E27"/>
    <w:rsid w:val="00994F74"/>
    <w:rsid w:val="009D08B4"/>
    <w:rsid w:val="00A332DB"/>
    <w:rsid w:val="00A33324"/>
    <w:rsid w:val="00B46DBF"/>
    <w:rsid w:val="00B84371"/>
    <w:rsid w:val="00BF3B60"/>
    <w:rsid w:val="00C73FBE"/>
    <w:rsid w:val="00C77B21"/>
    <w:rsid w:val="00C91365"/>
    <w:rsid w:val="00DC4AB0"/>
    <w:rsid w:val="00DF2068"/>
    <w:rsid w:val="00E27B0D"/>
    <w:rsid w:val="00E82B18"/>
    <w:rsid w:val="00EC3F15"/>
    <w:rsid w:val="00F9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27B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46D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46DB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unhideWhenUsed/>
    <w:rsid w:val="00B46D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6DBF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B46DB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1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3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3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dcterms:created xsi:type="dcterms:W3CDTF">2017-02-25T07:50:00Z</dcterms:created>
  <dcterms:modified xsi:type="dcterms:W3CDTF">2017-02-25T13:47:00Z</dcterms:modified>
</cp:coreProperties>
</file>