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NADA JELIČIĆ</w:t>
      </w:r>
    </w:p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I.F. BIUNDOVIĆA 2</w:t>
      </w:r>
    </w:p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21450 Hvar</w:t>
      </w:r>
    </w:p>
    <w:p w:rsidR="00BF3B60" w:rsidRPr="006C7175" w:rsidRDefault="00BF3B60" w:rsidP="00BF3B60">
      <w:pPr>
        <w:rPr>
          <w:rFonts w:asciiTheme="minorHAnsi" w:hAnsiTheme="minorHAnsi"/>
          <w:b/>
          <w:color w:val="333333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OIB: 59406654399</w:t>
      </w:r>
    </w:p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RNO: 0246516</w:t>
      </w:r>
    </w:p>
    <w:p w:rsidR="00BF3B60" w:rsidRPr="006C7175" w:rsidRDefault="00BF3B60" w:rsidP="00BF3B60">
      <w:pPr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Nezavisna vijećnica u Gradskom vijeću Grada Hvara, Kandidacijska lista grupe birača – nositelji</w:t>
      </w:r>
      <w:r w:rsidR="00CF7EAF">
        <w:rPr>
          <w:rFonts w:asciiTheme="minorHAnsi" w:hAnsiTheme="minorHAnsi"/>
          <w:sz w:val="22"/>
          <w:szCs w:val="22"/>
        </w:rPr>
        <w:t>ca liste: Nada Jeličić</w:t>
      </w:r>
    </w:p>
    <w:p w:rsidR="003A4073" w:rsidRPr="006C7175" w:rsidRDefault="003A4073" w:rsidP="00BF3B60">
      <w:pPr>
        <w:rPr>
          <w:rFonts w:asciiTheme="minorHAnsi" w:hAnsiTheme="minorHAnsi"/>
          <w:sz w:val="22"/>
          <w:szCs w:val="22"/>
        </w:rPr>
      </w:pPr>
    </w:p>
    <w:p w:rsidR="003A4073" w:rsidRPr="006C7175" w:rsidRDefault="003A4073" w:rsidP="003A4073">
      <w:pPr>
        <w:jc w:val="center"/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PROGRAM RADA ZA MANDATNO RAZDOBLJE 2013.-2017.</w:t>
      </w:r>
    </w:p>
    <w:p w:rsidR="003A4073" w:rsidRPr="006C7175" w:rsidRDefault="003A4073" w:rsidP="003A40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3A4073" w:rsidRPr="006C7175" w:rsidRDefault="003A4073" w:rsidP="003A4073">
      <w:pPr>
        <w:tabs>
          <w:tab w:val="left" w:pos="1290"/>
        </w:tabs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ab/>
      </w:r>
    </w:p>
    <w:p w:rsidR="003A4073" w:rsidRPr="006C7175" w:rsidRDefault="003A4073" w:rsidP="003A4073">
      <w:pPr>
        <w:rPr>
          <w:rFonts w:asciiTheme="minorHAnsi" w:hAnsiTheme="minorHAnsi"/>
          <w:b/>
          <w:sz w:val="22"/>
          <w:szCs w:val="22"/>
        </w:rPr>
      </w:pPr>
    </w:p>
    <w:p w:rsidR="003A4073" w:rsidRPr="006C7175" w:rsidRDefault="003A4073" w:rsidP="003A4073">
      <w:pPr>
        <w:jc w:val="both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Program rada za mandatno razdoblje 2013.-2017. godine, kao nezavisne članice Gradskog vijeća Grada Hvara, izabrane s Kandidacijske liste grupe birača – nositeljic</w:t>
      </w:r>
      <w:r w:rsidR="00CF7EAF">
        <w:rPr>
          <w:rFonts w:asciiTheme="minorHAnsi" w:hAnsiTheme="minorHAnsi"/>
          <w:sz w:val="22"/>
          <w:szCs w:val="22"/>
        </w:rPr>
        <w:t>e liste: Nede Jeličić</w:t>
      </w:r>
    </w:p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</w:p>
    <w:p w:rsidR="00BF3B60" w:rsidRPr="006C7175" w:rsidRDefault="00BF3B60" w:rsidP="00BF3B60">
      <w:pPr>
        <w:rPr>
          <w:rFonts w:asciiTheme="minorHAnsi" w:hAnsiTheme="minorHAnsi"/>
          <w:b/>
          <w:sz w:val="22"/>
          <w:szCs w:val="22"/>
        </w:rPr>
      </w:pPr>
    </w:p>
    <w:p w:rsidR="00BF3B60" w:rsidRPr="006C7175" w:rsidRDefault="00BF3B60" w:rsidP="00BF3B60">
      <w:pPr>
        <w:rPr>
          <w:rFonts w:asciiTheme="minorHAnsi" w:hAnsiTheme="minorHAnsi"/>
          <w:sz w:val="22"/>
          <w:szCs w:val="22"/>
        </w:rPr>
      </w:pPr>
    </w:p>
    <w:p w:rsidR="008A48B5" w:rsidRPr="006C7175" w:rsidRDefault="00E27B0D" w:rsidP="00E27B0D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OP</w:t>
      </w:r>
      <w:r w:rsidR="003A4073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ĆI DIO – PROGRAM RADA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NA RAZINI GRADSKOG VIJEĆA</w:t>
      </w:r>
    </w:p>
    <w:p w:rsidR="008A48B5" w:rsidRPr="006C7175" w:rsidRDefault="008A48B5" w:rsidP="008A48B5">
      <w:pPr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8A48B5" w:rsidRPr="006C7175" w:rsidRDefault="008A48B5" w:rsidP="008A48B5">
      <w:pPr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Gradsko vijeće predstavničko je tijelo građana i tijelo lokalne samouprave, koje donosi odluke i akte u okviru prava i dužnosti Grada Hvara, te obavlja i druge poslove u skladu sa Ustavom, zakonom i Statutom.</w:t>
      </w:r>
    </w:p>
    <w:p w:rsidR="008A48B5" w:rsidRPr="006C7175" w:rsidRDefault="008A48B5" w:rsidP="008A48B5">
      <w:pPr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 Kao gradska vijećnica sudjelujem u radu Gradskog vijeća i u moje opće poslove ubrajaju se svi poslovi Gradskog vijeća koje donosi: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Statut Grada,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Poslovnik o radu,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proračun i odluku o izvršenju proračuna,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godišnje izvješće o izvršenju proračuna,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odluku o privremenom financiranju,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nadzire ukupno materijalno i financijsko poslovanje Grada Hvara,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odluku o promjeni granice Grada Hvara,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donosi odluku o pristupanju izradi prostornih planova kao i njihovih izmjena i dopuna, te, nakon provedene procedure, iste usvaja,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odluku o uvjetima, načinu i postupku gospodarenja nekretninama u vlasništvu Grada, u skladu sa zakonom,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odlučuje o stjecanju i otuđenju pokretnina i nekretnina Grada Hvara čija ukupna vrijednost   prelazi 0,5% iznosa prihoda bez primitaka ostvarenih u godini koja prethodi godini u kojoj se odlučuje o stjecanju i otuđenju pokretnina i nekretnina, odnosno čija je pojedinačna vrijednost veća  od 1.000.000 kuna,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uređuje ustrojstvo i djelokrug upravnih odjela i službi,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donosi odluku o  kriterijima za ocjenjivanje službenika i načinu provođenja ocjenjivanja,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odlučuje o prijenosu i preuzimanju osnivačkih  prava u skladu sa zakonom,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donosi odluku o osnivanju i prestanku javnih ustanova, ustanova, trgovačkih društava i drugih pravnih osoba, za obavljanje gospodarskih, društvenih, komunalnih i drugih djelatnosti od interesa za  Grad, te odlučuje o njihovim statusnim  promjenama i preoblikovanjima u skladu sa  zakonom,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daje prethodne suglasnosti na statute  ustanova, ukoliko zakonom ili odlukom o osnivanju nije drugačije propisano,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odlučuje o stjecanju i prijenosu (kupnji i prodaji) dionica odnosno udjela u trgovačkim  društvima ako zakonom, nije drugačije riješeno,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lastRenderedPageBreak/>
        <w:t xml:space="preserve">odlučuje o davanju suglasnosti za zaduživanje pravnim osobama u većinskom izravnom ili neizravnom vlasništvu Grada i o davanju suglasnosti za zaduživanje ustanova kojih je osnivač Grad,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donosi odluke o potpisivanju sporazuma o suradnji s drugim jedinicama lokalne  samouprave, u skladu sa općim aktom i zakonom,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raspisuje lokalni referendum,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bira i razrješava predsjednika i potpredsjednike Gradskog vijeća, 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bira i razrješava predsjednike i članove radnih tijela Gradskog vijeća,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odlučuje o davanju koncesija kad je to određeno zakonom,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odlučuje o pokroviteljstvu,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 xml:space="preserve">donosi odluku o kriterijima, načinu i postupku za dodjelu javnih priznanja i dodjeljuje javna priznanja, 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imenuje i razrješava i druge osobe određene zakonom, ovim Statutom i posebnim odlukama Gradskog vijeća,</w:t>
      </w:r>
    </w:p>
    <w:p w:rsidR="008A48B5" w:rsidRPr="006C7175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sz w:val="22"/>
          <w:szCs w:val="22"/>
        </w:rPr>
        <w:t>donosi odluke i druge opće akte koji su mu stavljeni u djelokrug zakonom i podzakonskim aktima.</w:t>
      </w:r>
    </w:p>
    <w:p w:rsidR="008A48B5" w:rsidRPr="006C7175" w:rsidRDefault="008A48B5" w:rsidP="008A48B5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8A48B5" w:rsidRPr="006C7175" w:rsidRDefault="008A48B5">
      <w:pPr>
        <w:rPr>
          <w:rFonts w:asciiTheme="minorHAnsi" w:hAnsiTheme="minorHAnsi"/>
          <w:sz w:val="22"/>
          <w:szCs w:val="22"/>
        </w:rPr>
      </w:pPr>
    </w:p>
    <w:p w:rsidR="008A48B5" w:rsidRPr="006C7175" w:rsidRDefault="008A48B5" w:rsidP="008A48B5">
      <w:pPr>
        <w:rPr>
          <w:rFonts w:asciiTheme="minorHAnsi" w:hAnsiTheme="minorHAnsi"/>
          <w:sz w:val="22"/>
          <w:szCs w:val="22"/>
        </w:rPr>
      </w:pPr>
    </w:p>
    <w:p w:rsidR="008A48B5" w:rsidRPr="006C7175" w:rsidRDefault="008A48B5" w:rsidP="008A48B5">
      <w:pPr>
        <w:rPr>
          <w:rFonts w:asciiTheme="minorHAnsi" w:hAnsiTheme="minorHAnsi"/>
          <w:sz w:val="22"/>
          <w:szCs w:val="22"/>
        </w:rPr>
      </w:pPr>
    </w:p>
    <w:p w:rsidR="00E27B0D" w:rsidRPr="006C7175" w:rsidRDefault="00E27B0D" w:rsidP="00E27B0D">
      <w:pPr>
        <w:pStyle w:val="StandardWeb"/>
        <w:shd w:val="clear" w:color="auto" w:fill="FFFFFF"/>
        <w:spacing w:before="0" w:after="0"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</w:rPr>
        <w:t>POSEBNI DIO – PROGRA</w:t>
      </w:r>
      <w:r w:rsidR="003A4073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</w:rPr>
        <w:t>M AKTIVNOSTI</w:t>
      </w:r>
      <w:r w:rsidR="00BF3B60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</w:rPr>
        <w:t xml:space="preserve"> IZ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</w:rPr>
        <w:t>SAMOUPRAVNOG DJELOKRUGA</w:t>
      </w:r>
    </w:p>
    <w:p w:rsidR="00E27B0D" w:rsidRPr="006C7175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</w:rPr>
        <w:t> Vezano za samouprav</w:t>
      </w:r>
      <w:r w:rsidR="00BF3B60" w:rsidRPr="006C7175">
        <w:rPr>
          <w:rFonts w:asciiTheme="minorHAnsi" w:hAnsiTheme="minorHAnsi"/>
          <w:color w:val="444444"/>
          <w:sz w:val="22"/>
          <w:szCs w:val="22"/>
        </w:rPr>
        <w:t>ni djelokrug  nezavisna vijećnica </w:t>
      </w:r>
      <w:r w:rsidRPr="006C7175">
        <w:rPr>
          <w:rFonts w:asciiTheme="minorHAnsi" w:hAnsiTheme="minorHAnsi"/>
          <w:color w:val="444444"/>
          <w:sz w:val="22"/>
          <w:szCs w:val="22"/>
        </w:rPr>
        <w:t xml:space="preserve">obavlja poslove lokalnog značaja kojima se neposredno ostvaruju potrebe građana, a nisu Ustavom ili zakonom dodijeljeni državnim tijelima, </w:t>
      </w:r>
      <w:r w:rsidR="00BF3B60" w:rsidRPr="006C7175">
        <w:rPr>
          <w:rFonts w:asciiTheme="minorHAnsi" w:hAnsiTheme="minorHAnsi"/>
          <w:color w:val="444444"/>
          <w:sz w:val="22"/>
          <w:szCs w:val="22"/>
        </w:rPr>
        <w:t>te su</w:t>
      </w:r>
      <w:r w:rsidRPr="006C7175">
        <w:rPr>
          <w:rFonts w:asciiTheme="minorHAnsi" w:hAnsiTheme="minorHAnsi"/>
          <w:color w:val="444444"/>
          <w:sz w:val="22"/>
          <w:szCs w:val="22"/>
        </w:rPr>
        <w:t xml:space="preserve"> vezan</w:t>
      </w:r>
      <w:r w:rsidR="00BF3B60" w:rsidRPr="006C7175">
        <w:rPr>
          <w:rFonts w:asciiTheme="minorHAnsi" w:hAnsiTheme="minorHAnsi"/>
          <w:color w:val="444444"/>
          <w:sz w:val="22"/>
          <w:szCs w:val="22"/>
        </w:rPr>
        <w:t xml:space="preserve">i </w:t>
      </w:r>
      <w:r w:rsidRPr="006C7175">
        <w:rPr>
          <w:rFonts w:asciiTheme="minorHAnsi" w:hAnsiTheme="minorHAnsi"/>
          <w:color w:val="444444"/>
          <w:sz w:val="22"/>
          <w:szCs w:val="22"/>
        </w:rPr>
        <w:t xml:space="preserve"> za aktivnosti  poticanja, te stvaranja u</w:t>
      </w:r>
      <w:r w:rsidR="00B46DBF" w:rsidRPr="006C7175">
        <w:rPr>
          <w:rFonts w:asciiTheme="minorHAnsi" w:hAnsiTheme="minorHAnsi"/>
          <w:color w:val="444444"/>
          <w:sz w:val="22"/>
          <w:szCs w:val="22"/>
        </w:rPr>
        <w:t>vjeta u raznim područjima života građana grada Hvara.</w:t>
      </w:r>
    </w:p>
    <w:p w:rsidR="00B46DBF" w:rsidRPr="006C7175" w:rsidRDefault="00B46DBF" w:rsidP="003A4073">
      <w:pPr>
        <w:rPr>
          <w:rFonts w:asciiTheme="minorHAnsi" w:hAnsiTheme="minorHAnsi"/>
          <w:b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Nezavisna lista</w:t>
      </w:r>
      <w:r w:rsidR="00BF3B60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-</w:t>
      </w:r>
      <w:r w:rsidR="00BF3B60" w:rsidRPr="006C7175">
        <w:rPr>
          <w:rFonts w:asciiTheme="minorHAnsi" w:hAnsiTheme="minorHAnsi"/>
          <w:sz w:val="22"/>
          <w:szCs w:val="22"/>
        </w:rPr>
        <w:t xml:space="preserve"> </w:t>
      </w:r>
      <w:r w:rsidR="00BF3B60" w:rsidRPr="006C7175">
        <w:rPr>
          <w:rFonts w:asciiTheme="minorHAnsi" w:hAnsiTheme="minorHAnsi"/>
          <w:b/>
          <w:sz w:val="22"/>
          <w:szCs w:val="22"/>
        </w:rPr>
        <w:t xml:space="preserve">Kandidacijska lista grupe birača – nositeljica liste: </w:t>
      </w:r>
      <w:r w:rsidR="00CF7EAF">
        <w:rPr>
          <w:rFonts w:asciiTheme="minorHAnsi" w:hAnsiTheme="minorHAnsi"/>
          <w:b/>
          <w:sz w:val="22"/>
          <w:szCs w:val="22"/>
        </w:rPr>
        <w:t>Nada Jeličić,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a time i nezavisna  vijećnica </w:t>
      </w:r>
      <w:r w:rsidR="003A4073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Nada Jeličić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 u mandatu 2013.-2017g. ( program je istovjetan za svaku pojedinačnu godinu) posebno </w:t>
      </w:r>
      <w:r w:rsidR="003A4073" w:rsidRPr="006C7175">
        <w:rPr>
          <w:rFonts w:asciiTheme="minorHAnsi" w:hAnsiTheme="minorHAnsi"/>
          <w:b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se zalaže za</w:t>
      </w:r>
      <w:r w:rsidRPr="006C7175">
        <w:rPr>
          <w:rFonts w:asciiTheme="minorHAnsi" w:hAnsiTheme="minorHAnsi"/>
          <w:color w:val="444444"/>
          <w:sz w:val="22"/>
          <w:szCs w:val="22"/>
          <w:shd w:val="clear" w:color="auto" w:fill="FFFFFF"/>
        </w:rPr>
        <w:t>: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vjerodostojnost,ozbiljnost i odgovornost 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za javno izgovorenu riječ i djela koja je slijede, realnost u pristupu, predan i ozbiljan rad i pravodobno informiranje javnosti o svim bitnim pitanjima.  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rad na općem dobru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i stavljanje interesa Grada i građana iznad svih drugih interesa.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kvartalno informiranje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naših građana o djelovanju Gradskog vijeća i odlukama koje se donose, te o njihovom provođenju putem klasičnih i novih medija, te javnih tribina.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suradni</w:t>
      </w:r>
      <w:proofErr w:type="spellStart"/>
      <w:r w:rsidR="00BF3B60" w:rsidRPr="006C7175">
        <w:rPr>
          <w:rFonts w:asciiTheme="minorHAnsi" w:hAnsiTheme="minorHAnsi"/>
          <w:b/>
          <w:bCs/>
          <w:color w:val="444444"/>
          <w:sz w:val="22"/>
          <w:szCs w:val="22"/>
          <w:lang w:val="en-US"/>
        </w:rPr>
        <w:t>čku</w:t>
      </w:r>
      <w:proofErr w:type="spellEnd"/>
      <w:r w:rsidR="00BF3B60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(participativnu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) demokracij</w:t>
      </w:r>
      <w:r w:rsidR="00A332DB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u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koja pridonosi oblikovanju aktivnih i svjesnih građana.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aktivnije uključivanje mladih u javni život grada preko Gradskog savjeta mladih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Grada Hvara kao savjetodavno</w:t>
      </w:r>
      <w:r w:rsidR="00B46DBF" w:rsidRPr="006C7175">
        <w:rPr>
          <w:rFonts w:asciiTheme="minorHAnsi" w:hAnsiTheme="minorHAnsi"/>
          <w:color w:val="444444"/>
          <w:sz w:val="22"/>
          <w:szCs w:val="22"/>
          <w:lang w:val="hr-BA"/>
        </w:rPr>
        <w:t>g tijela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Gradskog vijeća.</w:t>
      </w:r>
    </w:p>
    <w:p w:rsidR="00A332DB" w:rsidRPr="006C7175" w:rsidRDefault="00A332DB" w:rsidP="00A332DB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d</w:t>
      </w:r>
      <w:r w:rsidR="00B46DBF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ovršenje i provođenje strategije razvoja</w:t>
      </w:r>
      <w:r w:rsidR="00B46DBF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Grada Hvara u kojem će biti razrađen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koncept razvoja turizma koji će osigurati pretpostavke za uspostavljanje trajne privlačnosti grada kao turističke destinacije i poboljšavanje njegove konkurentske sposobnosti na međunarodnom turističkom tržištu, omogućavajući kontinuirani rast blagostanja stanovnika i korištenje resursne osnove na načelima održivog razvoja.</w:t>
      </w:r>
    </w:p>
    <w:p w:rsidR="00374740" w:rsidRPr="006C7175" w:rsidRDefault="0081072D" w:rsidP="00A332DB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color w:val="444444"/>
          <w:sz w:val="22"/>
          <w:szCs w:val="22"/>
          <w:lang w:val="hr-BA"/>
        </w:rPr>
        <w:t>povezivanje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turističkih zajednica</w:t>
      </w:r>
      <w:r w:rsidR="00A332DB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na razini cijelog otoka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radi zajedničkog nastupa prema emitivnim tržištima. U taj proces uključiti sve relevantne gospodarske subjekte otoka, hotelijere, obrtnike, iznajmljivače i dr.  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lastRenderedPageBreak/>
        <w:t xml:space="preserve">uključivanje u turističke tijekove 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i sva naselja koja pripadaju gradu Hvaru, koja sa svojim prirodnim, kulturološkim i drugim atraktivnostima moraju postati sastavni dio turističkog proizvoda, koja će svaki gost željeti posjetiti. U mnoštvu istovrsne i jednolične ponude valja pronaći nešto po čemu će svako naselje postati jedinstveno u svojoj ponudi. 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o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rijentacij</w:t>
      </w:r>
      <w:r w:rsidR="00B46DBF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u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ka ruralnom turizmu preko  Etno Eko sela. 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</w:rPr>
        <w:t>p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>oticanje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 xml:space="preserve"> razvoja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 xml:space="preserve"> 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 xml:space="preserve">zdravstvenih i rekreativnih sadržaja u turizmu, kongresnog , eko turizma . 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</w:rPr>
        <w:t>o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>snivanje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 xml:space="preserve"> kompetentnog  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>managementa u kulturi koji bi objedinio i definirao upravljanje svim kulturnim dobrima u cilju implementacije u turističku ponudu.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o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dvajanje od županijskog, osnivanje i izgradnja hvarskog Doma zdravlja 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 xml:space="preserve">koji bi u svom sastavu imao obiteljsku (opću) medicinu, stomatološku zdravstvenu zaštitu, zdravstvenu zaštitu žena, dojenčadi i predškolske djece i starijih osoba, zaštitu mentalnog zdravlja i patronažnu zdravstvenu zaštitu, medicinu rada, zdravstvenu njegu, palijativnu skrb bolesnika, laboratorijsku, radiološku i drugu dijagnostiku </w:t>
      </w:r>
    </w:p>
    <w:p w:rsidR="00374740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</w:rPr>
        <w:t>v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>raćanje hitne medicinske pomoći i fizikalne terapije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</w:p>
    <w:p w:rsidR="00134336" w:rsidRPr="006C7175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izgradnju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 Doma za starije i nemoćne osobe 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Dom za starije i nemoćne 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s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ervis za starije i nemoćne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u njihovim kućama. 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r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azvoj zdravstvenog turizma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( postojeći Dom zdravlja preurediti i prenamijeniti u tu svrhu) putem 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>talasoterapije ( terapija na bazi tople morske vode)  koja čini osnovu zdravstvenog turizma na moru, zatim medicinski programirani aktivni odmor i wellness ( aromaterapije, morski ekstrakti, autohtona esencijalna ulja i ekstrakti autohtonih ljekovitih bilja u kombinaciji sa zdravom hranom).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 xml:space="preserve"> </w:t>
      </w:r>
    </w:p>
    <w:p w:rsidR="00B46DBF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p</w:t>
      </w:r>
      <w:r w:rsidR="00B46DBF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ovećanje naknade za novorođenu djecu</w:t>
      </w:r>
      <w:r w:rsidR="00B46DBF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s progresivnim rastom za drugo, treće i svako sljedeće dijete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iskorištavanje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financijskih i poslovnih prilika koje nam se otvaraju kroz EU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fondove</w:t>
      </w:r>
      <w:r w:rsidRPr="006C7175">
        <w:rPr>
          <w:rFonts w:asciiTheme="minorHAnsi" w:hAnsiTheme="minorHAnsi"/>
          <w:i/>
          <w:iCs/>
          <w:color w:val="444444"/>
          <w:sz w:val="22"/>
          <w:szCs w:val="22"/>
          <w:lang w:val="hr-BA"/>
        </w:rPr>
        <w:t xml:space="preserve"> 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>a kojima bi se mogli financirati mnogi projekti, spomenici, zgrade i prostori od značaja za grad (Fortica, Arsenal, Sv Marko, Pjaca, Veneranda,  palača Vukašinović, Knjižnica – Multimedijalni centar, Sportski centar, Starački dom)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ulaganje u edukaciju ljudskog potencijala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radi  stjecanja potrebnih znanja za efikasno povlačenje sredstava iz EU fondova</w:t>
      </w:r>
    </w:p>
    <w:p w:rsidR="00374740" w:rsidRPr="006C7175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osiguranje stavke u proračunu za pripremu i provedbu projekata 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>EU fondova, tehničke pomoći i sufinanciranja razvojnih projekata.</w:t>
      </w:r>
    </w:p>
    <w:p w:rsidR="00B46DBF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i</w:t>
      </w:r>
      <w:r w:rsidR="00B46DBF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zgradnju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 Srednje škole Hvar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po već gotovom projektu, kao i igralište uz zgradu Osnovne škol</w:t>
      </w:r>
      <w:r w:rsidR="00B46DBF" w:rsidRPr="006C7175">
        <w:rPr>
          <w:rFonts w:asciiTheme="minorHAnsi" w:hAnsiTheme="minorHAnsi"/>
          <w:color w:val="444444"/>
          <w:sz w:val="22"/>
          <w:szCs w:val="22"/>
          <w:lang w:val="hr-BA"/>
        </w:rPr>
        <w:t>e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 a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dekvatno privremeno rješenje za smještaj Gradske knjižnice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smatramo prioritetom i imamo nekoliko alternativa od kojih ćemo optimalnu odabrati uz suradnju Partnerskog odbora.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p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laniranje sportskog centra 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na poziciji kod teniskih terena i definiranje modela financiranja. 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r</w:t>
      </w:r>
      <w:r w:rsidR="00B46DBF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ealizaciju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 xml:space="preserve"> projekta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- 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Multimedijalni centar</w:t>
      </w:r>
      <w:r w:rsidR="0081072D"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koji bi osigurao društvene prostorije za građane svih dobnih skupina, kino dvoranu i prostor za Knjižnicu. </w:t>
      </w:r>
    </w:p>
    <w:p w:rsidR="00374740" w:rsidRPr="006C7175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b/>
          <w:bCs/>
          <w:color w:val="444444"/>
          <w:sz w:val="22"/>
          <w:szCs w:val="22"/>
        </w:rPr>
        <w:t>z</w:t>
      </w:r>
      <w:r w:rsidR="0081072D" w:rsidRPr="006C7175">
        <w:rPr>
          <w:rFonts w:asciiTheme="minorHAnsi" w:hAnsiTheme="minorHAnsi"/>
          <w:b/>
          <w:bCs/>
          <w:color w:val="444444"/>
          <w:sz w:val="22"/>
          <w:szCs w:val="22"/>
        </w:rPr>
        <w:t>alaganje i sudjelovanje u radu ureda LAG-a ŠKOJI</w:t>
      </w:r>
      <w:r w:rsidR="0081072D" w:rsidRPr="006C7175">
        <w:rPr>
          <w:rFonts w:asciiTheme="minorHAnsi" w:hAnsiTheme="minorHAnsi"/>
          <w:color w:val="444444"/>
          <w:sz w:val="22"/>
          <w:szCs w:val="22"/>
        </w:rPr>
        <w:t xml:space="preserve"> i putem istog poticanje projekata za male i srednje poduzetnike i one u funkciji javno privatnog partnerstva , poljoprivrednike, za projekte podizanja kvalitete života i jačanja udruga, za projekte od važnosti za grad u domeni manjih infrastrukturnih zahvata (protupožarni putevi, fekalna odvodnja, nerazvrstane ceste i slično) </w:t>
      </w:r>
    </w:p>
    <w:p w:rsidR="000C67CD" w:rsidRPr="006C7175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komunikaciju</w:t>
      </w:r>
      <w:r w:rsidRPr="006C7175">
        <w:rPr>
          <w:rFonts w:asciiTheme="minorHAnsi" w:hAnsiTheme="minorHAnsi"/>
          <w:sz w:val="22"/>
          <w:szCs w:val="22"/>
        </w:rPr>
        <w:t xml:space="preserve"> sa građanima Grada Hvara i artikuliranje njihovih problema kroz pitanja vijećnika na sjednicama Gradskog vijeća Grada Hvara.</w:t>
      </w:r>
    </w:p>
    <w:p w:rsidR="000C67CD" w:rsidRPr="006C7175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djelovanja</w:t>
      </w:r>
      <w:r w:rsidRPr="006C7175">
        <w:rPr>
          <w:rFonts w:asciiTheme="minorHAnsi" w:hAnsiTheme="minorHAnsi"/>
          <w:sz w:val="22"/>
          <w:szCs w:val="22"/>
        </w:rPr>
        <w:t xml:space="preserve"> kroz održavanje skupova, tribina i prigodnih domjenaka, a sve u cilju promicanja i ostvarivanja programskih ciljeva za razdoblje 2013.-2017.</w:t>
      </w:r>
    </w:p>
    <w:p w:rsidR="000C67CD" w:rsidRPr="006C7175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političku promidžbu i djelovanja</w:t>
      </w:r>
      <w:r w:rsidRPr="006C7175">
        <w:rPr>
          <w:rFonts w:asciiTheme="minorHAnsi" w:hAnsiTheme="minorHAnsi"/>
          <w:sz w:val="22"/>
          <w:szCs w:val="22"/>
        </w:rPr>
        <w:t xml:space="preserve"> kroz tiskanje letaka, brošura i oglašavanje u medijima, a sve u cilju promicanja i ostvarivanja programskih ciljeva za mandatno razdoblje 2013.-2017 godine</w:t>
      </w:r>
    </w:p>
    <w:p w:rsidR="000C67CD" w:rsidRPr="006C7175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lastRenderedPageBreak/>
        <w:t xml:space="preserve">odlaske </w:t>
      </w:r>
      <w:r w:rsidRPr="006C7175">
        <w:rPr>
          <w:rFonts w:asciiTheme="minorHAnsi" w:hAnsiTheme="minorHAnsi"/>
          <w:sz w:val="22"/>
          <w:szCs w:val="22"/>
        </w:rPr>
        <w:t xml:space="preserve">na seminare, savjetovanja i simpozije radi kvalitetnog educiranja u svrhu kompetentnijeg  političkog djelovanja </w:t>
      </w:r>
    </w:p>
    <w:p w:rsidR="000C67CD" w:rsidRPr="006C7175" w:rsidRDefault="000C67CD" w:rsidP="000C67CD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444444"/>
          <w:sz w:val="22"/>
          <w:szCs w:val="22"/>
        </w:rPr>
      </w:pPr>
    </w:p>
    <w:p w:rsidR="00B46DBF" w:rsidRPr="006C7175" w:rsidRDefault="00B46DBF" w:rsidP="00B46DBF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444444"/>
          <w:sz w:val="22"/>
          <w:szCs w:val="22"/>
          <w:lang w:val="hr-BA"/>
        </w:rPr>
      </w:pP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> </w:t>
      </w:r>
      <w:r w:rsidRPr="006C7175">
        <w:rPr>
          <w:rFonts w:asciiTheme="minorHAnsi" w:hAnsiTheme="minorHAnsi"/>
          <w:b/>
          <w:color w:val="444444"/>
          <w:sz w:val="22"/>
          <w:szCs w:val="22"/>
          <w:lang w:val="hr-BA"/>
        </w:rPr>
        <w:t xml:space="preserve">Posebno je </w:t>
      </w:r>
      <w:r w:rsidRPr="006C7175">
        <w:rPr>
          <w:rFonts w:asciiTheme="minorHAnsi" w:hAnsiTheme="minorHAnsi"/>
          <w:b/>
          <w:bCs/>
          <w:color w:val="444444"/>
          <w:sz w:val="22"/>
          <w:szCs w:val="22"/>
          <w:lang w:val="hr-BA"/>
        </w:rPr>
        <w:t>važno</w:t>
      </w:r>
      <w:r w:rsidRPr="006C7175">
        <w:rPr>
          <w:rFonts w:asciiTheme="minorHAnsi" w:hAnsiTheme="minorHAnsi"/>
          <w:b/>
          <w:color w:val="444444"/>
          <w:sz w:val="22"/>
          <w:szCs w:val="22"/>
          <w:lang w:val="hr-BA"/>
        </w:rPr>
        <w:t xml:space="preserve"> ojačati kapacitete organizacija za osmišljavanje projektnih ideja, ispunjavanje detaljnih projektnih prijava, učinkovitu provedbu projekata te stvaranje partnerske i informacijske mreže za uspješno</w:t>
      </w: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 xml:space="preserve"> upravljanje EU projektima.</w:t>
      </w:r>
    </w:p>
    <w:p w:rsidR="000C67CD" w:rsidRPr="006C7175" w:rsidRDefault="000C67CD" w:rsidP="00B46DBF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444444"/>
          <w:sz w:val="22"/>
          <w:szCs w:val="22"/>
        </w:rPr>
      </w:pPr>
    </w:p>
    <w:p w:rsidR="000C67CD" w:rsidRPr="006C7175" w:rsidRDefault="000C67CD" w:rsidP="006C7175">
      <w:pPr>
        <w:pStyle w:val="StandardWeb"/>
        <w:shd w:val="clear" w:color="auto" w:fill="FFFFFF"/>
        <w:tabs>
          <w:tab w:val="left" w:pos="7014"/>
        </w:tabs>
        <w:spacing w:line="212" w:lineRule="atLeast"/>
        <w:ind w:left="720"/>
        <w:jc w:val="righ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</w:rPr>
        <w:tab/>
        <w:t>Nezavisna vijećnica</w:t>
      </w:r>
    </w:p>
    <w:p w:rsidR="000C67CD" w:rsidRPr="006C7175" w:rsidRDefault="006C7175" w:rsidP="006C7175">
      <w:pPr>
        <w:pStyle w:val="StandardWeb"/>
        <w:shd w:val="clear" w:color="auto" w:fill="FFFFFF"/>
        <w:tabs>
          <w:tab w:val="left" w:pos="7014"/>
        </w:tabs>
        <w:spacing w:line="212" w:lineRule="atLeast"/>
        <w:ind w:left="720"/>
        <w:jc w:val="right"/>
        <w:textAlignment w:val="baseline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ab/>
        <w:t xml:space="preserve">   </w:t>
      </w:r>
      <w:r w:rsidR="000C67CD" w:rsidRPr="006C7175">
        <w:rPr>
          <w:rFonts w:asciiTheme="minorHAnsi" w:hAnsiTheme="minorHAnsi"/>
          <w:color w:val="444444"/>
          <w:sz w:val="22"/>
          <w:szCs w:val="22"/>
        </w:rPr>
        <w:t xml:space="preserve"> Nada Jeličić</w:t>
      </w:r>
    </w:p>
    <w:p w:rsidR="00B46DBF" w:rsidRPr="006C7175" w:rsidRDefault="00B46DBF" w:rsidP="00B46DBF">
      <w:pPr>
        <w:pStyle w:val="StandardWeb"/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> </w:t>
      </w:r>
    </w:p>
    <w:p w:rsidR="00B46DBF" w:rsidRPr="00B46DBF" w:rsidRDefault="00B46DBF" w:rsidP="00B46DBF">
      <w:pPr>
        <w:pStyle w:val="StandardWeb"/>
        <w:shd w:val="clear" w:color="auto" w:fill="FFFFFF"/>
        <w:spacing w:line="212" w:lineRule="atLeast"/>
        <w:textAlignment w:val="baseline"/>
        <w:rPr>
          <w:color w:val="444444"/>
          <w:sz w:val="22"/>
          <w:szCs w:val="22"/>
        </w:rPr>
      </w:pPr>
    </w:p>
    <w:p w:rsidR="00E27B0D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="Helvetica" w:hAnsi="Helvetica"/>
          <w:color w:val="444444"/>
          <w:sz w:val="12"/>
          <w:szCs w:val="12"/>
        </w:rPr>
      </w:pPr>
      <w:r>
        <w:rPr>
          <w:rFonts w:ascii="Helvetica" w:hAnsi="Helvetica"/>
          <w:color w:val="444444"/>
          <w:sz w:val="12"/>
          <w:szCs w:val="12"/>
        </w:rPr>
        <w:t> </w:t>
      </w:r>
    </w:p>
    <w:p w:rsidR="00E27B0D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="Helvetica" w:hAnsi="Helvetica"/>
          <w:color w:val="444444"/>
          <w:sz w:val="12"/>
          <w:szCs w:val="12"/>
        </w:rPr>
      </w:pPr>
    </w:p>
    <w:p w:rsidR="002520F2" w:rsidRPr="008A48B5" w:rsidRDefault="002520F2" w:rsidP="00E27B0D">
      <w:pPr>
        <w:rPr>
          <w:b/>
        </w:rPr>
      </w:pPr>
    </w:p>
    <w:sectPr w:rsidR="002520F2" w:rsidRPr="008A48B5" w:rsidSect="0025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73" w:rsidRDefault="00002073" w:rsidP="00B46DBF">
      <w:r>
        <w:separator/>
      </w:r>
    </w:p>
  </w:endnote>
  <w:endnote w:type="continuationSeparator" w:id="0">
    <w:p w:rsidR="00002073" w:rsidRDefault="00002073" w:rsidP="00B4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73" w:rsidRDefault="00002073" w:rsidP="00B46DBF">
      <w:r>
        <w:separator/>
      </w:r>
    </w:p>
  </w:footnote>
  <w:footnote w:type="continuationSeparator" w:id="0">
    <w:p w:rsidR="00002073" w:rsidRDefault="00002073" w:rsidP="00B46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0FC"/>
    <w:multiLevelType w:val="hybridMultilevel"/>
    <w:tmpl w:val="9236ACB4"/>
    <w:lvl w:ilvl="0" w:tplc="F7B44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1D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A7F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04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27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42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A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8F8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2C5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751D7"/>
    <w:multiLevelType w:val="hybridMultilevel"/>
    <w:tmpl w:val="BD32CD58"/>
    <w:lvl w:ilvl="0" w:tplc="2E7A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6F2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80F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0D0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2AA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2A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C07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C5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6F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4132A"/>
    <w:multiLevelType w:val="hybridMultilevel"/>
    <w:tmpl w:val="AD60C9E4"/>
    <w:lvl w:ilvl="0" w:tplc="C7628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26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0CD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A2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0D6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6E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000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01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A1C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54720"/>
    <w:multiLevelType w:val="hybridMultilevel"/>
    <w:tmpl w:val="1FBE2934"/>
    <w:lvl w:ilvl="0" w:tplc="D7F21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84CBF"/>
    <w:multiLevelType w:val="hybridMultilevel"/>
    <w:tmpl w:val="B9545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4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8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E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1328C"/>
    <w:multiLevelType w:val="hybridMultilevel"/>
    <w:tmpl w:val="CF7A0C00"/>
    <w:lvl w:ilvl="0" w:tplc="AB2EA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1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81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62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832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6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E1C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E6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840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8344E"/>
    <w:multiLevelType w:val="hybridMultilevel"/>
    <w:tmpl w:val="B76AF3BE"/>
    <w:lvl w:ilvl="0" w:tplc="473E8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8B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2E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2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4E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491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2D0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E4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A9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21E9D"/>
    <w:multiLevelType w:val="hybridMultilevel"/>
    <w:tmpl w:val="354C1D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8B5"/>
    <w:rsid w:val="00002073"/>
    <w:rsid w:val="0007572D"/>
    <w:rsid w:val="00080059"/>
    <w:rsid w:val="000C67CD"/>
    <w:rsid w:val="00134336"/>
    <w:rsid w:val="00194DE8"/>
    <w:rsid w:val="001C0D4E"/>
    <w:rsid w:val="001E28D5"/>
    <w:rsid w:val="002367C0"/>
    <w:rsid w:val="002436D1"/>
    <w:rsid w:val="002520F2"/>
    <w:rsid w:val="0025716B"/>
    <w:rsid w:val="002E4349"/>
    <w:rsid w:val="00374740"/>
    <w:rsid w:val="003A4073"/>
    <w:rsid w:val="003B02D3"/>
    <w:rsid w:val="003F1FB1"/>
    <w:rsid w:val="004E7605"/>
    <w:rsid w:val="00565582"/>
    <w:rsid w:val="005672C1"/>
    <w:rsid w:val="005C53EB"/>
    <w:rsid w:val="006C7175"/>
    <w:rsid w:val="006F0937"/>
    <w:rsid w:val="00701F83"/>
    <w:rsid w:val="007419D2"/>
    <w:rsid w:val="0081072D"/>
    <w:rsid w:val="008311FF"/>
    <w:rsid w:val="008A3BE7"/>
    <w:rsid w:val="008A48B5"/>
    <w:rsid w:val="008B2E27"/>
    <w:rsid w:val="00994F74"/>
    <w:rsid w:val="00A332DB"/>
    <w:rsid w:val="00A33324"/>
    <w:rsid w:val="00B46DBF"/>
    <w:rsid w:val="00B84371"/>
    <w:rsid w:val="00BF3B60"/>
    <w:rsid w:val="00C73FBE"/>
    <w:rsid w:val="00C77B21"/>
    <w:rsid w:val="00CF7EAF"/>
    <w:rsid w:val="00D66F9D"/>
    <w:rsid w:val="00DC4AB0"/>
    <w:rsid w:val="00DF2068"/>
    <w:rsid w:val="00E27B0D"/>
    <w:rsid w:val="00E82B18"/>
    <w:rsid w:val="00EC3F15"/>
    <w:rsid w:val="00F9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27B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46D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6DB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B46D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6DBF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B46DB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3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2016-01-20T10:19:00Z</dcterms:created>
  <dcterms:modified xsi:type="dcterms:W3CDTF">2016-01-20T10:19:00Z</dcterms:modified>
</cp:coreProperties>
</file>