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Kukurina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563D5AEE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F062AD">
        <w:rPr>
          <w:sz w:val="22"/>
          <w:szCs w:val="22"/>
        </w:rPr>
        <w:t>4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0E1862B2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F062AD">
        <w:rPr>
          <w:sz w:val="21"/>
          <w:szCs w:val="21"/>
        </w:rPr>
        <w:t>4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</w:t>
      </w:r>
      <w:r w:rsidR="00321F3F">
        <w:rPr>
          <w:sz w:val="22"/>
          <w:szCs w:val="22"/>
        </w:rPr>
        <w:t>eura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1CABB0AC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F062AD">
        <w:rPr>
          <w:sz w:val="21"/>
          <w:szCs w:val="21"/>
        </w:rPr>
        <w:t>4</w:t>
      </w:r>
      <w:r w:rsidRPr="00E75141">
        <w:rPr>
          <w:sz w:val="21"/>
          <w:szCs w:val="21"/>
        </w:rPr>
        <w:t>.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4F08551C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F062AD">
        <w:rPr>
          <w:sz w:val="21"/>
          <w:szCs w:val="21"/>
        </w:rPr>
        <w:t>4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F062AD">
        <w:rPr>
          <w:sz w:val="21"/>
          <w:szCs w:val="21"/>
        </w:rPr>
        <w:t>4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3F7A09BC" w14:textId="77777777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lastRenderedPageBreak/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7F10D4E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321F3F">
        <w:rPr>
          <w:sz w:val="21"/>
          <w:szCs w:val="21"/>
        </w:rPr>
        <w:t>5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pečatirani.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6271779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6E7D73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1256">
    <w:abstractNumId w:val="0"/>
  </w:num>
  <w:num w:numId="2" w16cid:durableId="312493601">
    <w:abstractNumId w:val="1"/>
  </w:num>
  <w:num w:numId="3" w16cid:durableId="193365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FE"/>
    <w:rsid w:val="00041B19"/>
    <w:rsid w:val="00183117"/>
    <w:rsid w:val="00321F3F"/>
    <w:rsid w:val="00351E03"/>
    <w:rsid w:val="003E57B9"/>
    <w:rsid w:val="00450D9F"/>
    <w:rsid w:val="005725D5"/>
    <w:rsid w:val="00596FE2"/>
    <w:rsid w:val="006E7D73"/>
    <w:rsid w:val="007F234D"/>
    <w:rsid w:val="00B257CC"/>
    <w:rsid w:val="00B351ED"/>
    <w:rsid w:val="00B94432"/>
    <w:rsid w:val="00CE7DE1"/>
    <w:rsid w:val="00DE315A"/>
    <w:rsid w:val="00E54A83"/>
    <w:rsid w:val="00E71BF4"/>
    <w:rsid w:val="00E86FFE"/>
    <w:rsid w:val="00EB7439"/>
    <w:rsid w:val="00EC4736"/>
    <w:rsid w:val="00F062AD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  <w15:docId w15:val="{31EBC379-9734-45A2-888D-576E27E2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 Petric Hraste</cp:lastModifiedBy>
  <cp:revision>8</cp:revision>
  <cp:lastPrinted>2020-07-02T06:45:00Z</cp:lastPrinted>
  <dcterms:created xsi:type="dcterms:W3CDTF">2022-01-14T12:40:00Z</dcterms:created>
  <dcterms:modified xsi:type="dcterms:W3CDTF">2024-01-11T11:22:00Z</dcterms:modified>
</cp:coreProperties>
</file>