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8" w:type="dxa"/>
        <w:tblInd w:w="93" w:type="dxa"/>
        <w:tblLook w:val="04A0" w:firstRow="1" w:lastRow="0" w:firstColumn="1" w:lastColumn="0" w:noHBand="0" w:noVBand="1"/>
      </w:tblPr>
      <w:tblGrid>
        <w:gridCol w:w="886"/>
        <w:gridCol w:w="222"/>
        <w:gridCol w:w="236"/>
        <w:gridCol w:w="222"/>
        <w:gridCol w:w="222"/>
      </w:tblGrid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BD079C" w:rsidTr="009829F1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1D3D6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D6C" w:rsidRPr="00E32554" w:rsidRDefault="001D3D6C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9829F1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1D3D6C" w:rsidRDefault="001D3D6C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 xml:space="preserve">OBRAZLOŽENJE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4957D0">
        <w:rPr>
          <w:rFonts w:ascii="Arial" w:eastAsia="Times New Roman" w:hAnsi="Arial" w:cs="Arial"/>
          <w:b/>
          <w:sz w:val="28"/>
          <w:szCs w:val="28"/>
        </w:rPr>
        <w:t>2</w:t>
      </w:r>
      <w:r w:rsidR="00392622">
        <w:rPr>
          <w:rFonts w:ascii="Arial" w:eastAsia="Times New Roman" w:hAnsi="Arial" w:cs="Arial"/>
          <w:b/>
          <w:sz w:val="28"/>
          <w:szCs w:val="28"/>
        </w:rPr>
        <w:t>1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392622">
        <w:rPr>
          <w:rFonts w:ascii="Arial" w:eastAsia="Times New Roman" w:hAnsi="Arial" w:cs="Arial"/>
          <w:b/>
          <w:sz w:val="28"/>
          <w:szCs w:val="28"/>
        </w:rPr>
        <w:t>3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7814FF" w:rsidP="008F465A">
      <w:pPr>
        <w:spacing w:after="0" w:line="240" w:lineRule="auto"/>
        <w:rPr>
          <w:rFonts w:ascii="Arial" w:eastAsia="Times New Roman" w:hAnsi="Arial" w:cs="Arial"/>
          <w:b/>
        </w:rPr>
      </w:pPr>
      <w:r w:rsidRPr="00B53C6D">
        <w:rPr>
          <w:rFonts w:ascii="Arial" w:eastAsia="Times New Roman" w:hAnsi="Arial" w:cs="Arial"/>
          <w:b/>
        </w:rPr>
        <w:t xml:space="preserve">   </w:t>
      </w:r>
      <w:r w:rsidR="008F465A" w:rsidRPr="00B53C6D">
        <w:rPr>
          <w:rFonts w:ascii="Arial" w:eastAsia="Times New Roman" w:hAnsi="Arial" w:cs="Arial"/>
          <w:b/>
        </w:rPr>
        <w:t>UVOD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53C6D">
        <w:rPr>
          <w:rFonts w:ascii="Arial" w:eastAsia="Times New Roman" w:hAnsi="Arial" w:cs="Arial"/>
        </w:rPr>
        <w:t xml:space="preserve">Gradsko vijeće, temeljem članka 39. Zakona o proračunu do kraja tekuće godine donosi Proračun za narednu proračunsku godinu i projekcije za slijedeće dvije godine. Proračun Grada </w:t>
      </w:r>
      <w:r w:rsidR="004957D0">
        <w:rPr>
          <w:rFonts w:ascii="Arial" w:eastAsia="Times New Roman" w:hAnsi="Arial" w:cs="Arial"/>
        </w:rPr>
        <w:t>Hvara</w:t>
      </w:r>
      <w:r w:rsidRPr="00B53C6D">
        <w:rPr>
          <w:rFonts w:ascii="Arial" w:eastAsia="Times New Roman" w:hAnsi="Arial" w:cs="Arial"/>
        </w:rPr>
        <w:t xml:space="preserve"> </w:t>
      </w:r>
      <w:r w:rsidR="0033773F">
        <w:rPr>
          <w:rFonts w:ascii="Arial" w:eastAsia="Times New Roman" w:hAnsi="Arial" w:cs="Arial"/>
        </w:rPr>
        <w:t xml:space="preserve">je </w:t>
      </w:r>
      <w:r w:rsidRPr="00B53C6D">
        <w:rPr>
          <w:rFonts w:ascii="Arial" w:eastAsia="Times New Roman" w:hAnsi="Arial" w:cs="Arial"/>
        </w:rPr>
        <w:t>temeljni financijski dokument u kojem su iskazani planirani prihodi i primici te rashodi i izdaci za 20</w:t>
      </w:r>
      <w:r w:rsidR="004957D0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1</w:t>
      </w:r>
      <w:r w:rsidRPr="00B53C6D">
        <w:rPr>
          <w:rFonts w:ascii="Arial" w:eastAsia="Times New Roman" w:hAnsi="Arial" w:cs="Arial"/>
        </w:rPr>
        <w:t>. s projekcijama  za 20</w:t>
      </w:r>
      <w:r w:rsidR="0098185C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2</w:t>
      </w:r>
      <w:r w:rsidRPr="00B53C6D">
        <w:rPr>
          <w:rFonts w:ascii="Arial" w:eastAsia="Times New Roman" w:hAnsi="Arial" w:cs="Arial"/>
        </w:rPr>
        <w:t>. i 20</w:t>
      </w:r>
      <w:r w:rsidR="00C75381">
        <w:rPr>
          <w:rFonts w:ascii="Arial" w:eastAsia="Times New Roman" w:hAnsi="Arial" w:cs="Arial"/>
        </w:rPr>
        <w:t>2</w:t>
      </w:r>
      <w:r w:rsidR="00392622">
        <w:rPr>
          <w:rFonts w:ascii="Arial" w:eastAsia="Times New Roman" w:hAnsi="Arial" w:cs="Arial"/>
        </w:rPr>
        <w:t>3</w:t>
      </w:r>
      <w:r w:rsidRPr="00B53C6D">
        <w:rPr>
          <w:rFonts w:ascii="Arial" w:eastAsia="Times New Roman" w:hAnsi="Arial" w:cs="Arial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Pr="008F465A" w:rsidRDefault="004957D0" w:rsidP="00392622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Odsjek za proračun, financije i gospodarstvo JUO Grada Hvara</w:t>
      </w:r>
      <w:r w:rsidR="000C2681">
        <w:rPr>
          <w:rFonts w:ascii="Arial" w:eastAsia="Times New Roman" w:hAnsi="Arial" w:cs="Arial"/>
          <w:lang w:eastAsia="hr-HR"/>
        </w:rPr>
        <w:t xml:space="preserve"> </w:t>
      </w:r>
      <w:r w:rsidR="00F22408">
        <w:rPr>
          <w:rFonts w:ascii="Arial" w:eastAsia="Times New Roman" w:hAnsi="Arial" w:cs="Arial"/>
          <w:lang w:eastAsia="hr-HR"/>
        </w:rPr>
        <w:t xml:space="preserve">izradio je Nacrt prijedloga, a Gradonačelnik predložio Gradskom vijeću Proračun Grada </w:t>
      </w:r>
      <w:r>
        <w:rPr>
          <w:rFonts w:ascii="Arial" w:eastAsia="Times New Roman" w:hAnsi="Arial" w:cs="Arial"/>
          <w:lang w:eastAsia="hr-HR"/>
        </w:rPr>
        <w:t>Hvara</w:t>
      </w:r>
      <w:r w:rsidR="00F22408">
        <w:rPr>
          <w:rFonts w:ascii="Arial" w:eastAsia="Times New Roman" w:hAnsi="Arial" w:cs="Arial"/>
          <w:lang w:eastAsia="hr-HR"/>
        </w:rPr>
        <w:t xml:space="preserve"> za 20</w:t>
      </w:r>
      <w:r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1</w:t>
      </w:r>
      <w:r w:rsidR="00F22408">
        <w:rPr>
          <w:rFonts w:ascii="Arial" w:eastAsia="Times New Roman" w:hAnsi="Arial" w:cs="Arial"/>
          <w:lang w:eastAsia="hr-HR"/>
        </w:rPr>
        <w:t>. godinu sa projekcijama za 20</w:t>
      </w:r>
      <w:r w:rsidR="0098185C"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2</w:t>
      </w:r>
      <w:r w:rsidR="00F22408">
        <w:rPr>
          <w:rFonts w:ascii="Arial" w:eastAsia="Times New Roman" w:hAnsi="Arial" w:cs="Arial"/>
          <w:lang w:eastAsia="hr-HR"/>
        </w:rPr>
        <w:t xml:space="preserve">. </w:t>
      </w:r>
      <w:r w:rsidR="00AB3ED0">
        <w:rPr>
          <w:rFonts w:ascii="Arial" w:eastAsia="Times New Roman" w:hAnsi="Arial" w:cs="Arial"/>
          <w:lang w:eastAsia="hr-HR"/>
        </w:rPr>
        <w:t>i</w:t>
      </w:r>
      <w:r w:rsidR="00F22408">
        <w:rPr>
          <w:rFonts w:ascii="Arial" w:eastAsia="Times New Roman" w:hAnsi="Arial" w:cs="Arial"/>
          <w:lang w:eastAsia="hr-HR"/>
        </w:rPr>
        <w:t xml:space="preserve"> 202</w:t>
      </w:r>
      <w:r w:rsidR="00392622">
        <w:rPr>
          <w:rFonts w:ascii="Arial" w:eastAsia="Times New Roman" w:hAnsi="Arial" w:cs="Arial"/>
          <w:lang w:eastAsia="hr-HR"/>
        </w:rPr>
        <w:t>3</w:t>
      </w:r>
      <w:r w:rsidR="00F22408">
        <w:rPr>
          <w:rFonts w:ascii="Arial" w:eastAsia="Times New Roman" w:hAnsi="Arial" w:cs="Arial"/>
          <w:lang w:eastAsia="hr-HR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2DC4" w:rsidRDefault="00652DC4" w:rsidP="00652DC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652DC4">
        <w:rPr>
          <w:rFonts w:ascii="Arial" w:eastAsia="Times New Roman" w:hAnsi="Arial" w:cs="Arial"/>
          <w:b/>
        </w:rPr>
        <w:t xml:space="preserve">OSNOVNI CILJEVI GOSPODARSKE I PRORAČUNSKE POLITIKE GRADA </w:t>
      </w:r>
      <w:r w:rsidR="004957D0">
        <w:rPr>
          <w:rFonts w:ascii="Arial" w:eastAsia="Times New Roman" w:hAnsi="Arial" w:cs="Arial"/>
          <w:b/>
        </w:rPr>
        <w:t>HVARA</w:t>
      </w:r>
      <w:r w:rsidRPr="00652DC4">
        <w:rPr>
          <w:rFonts w:ascii="Arial" w:eastAsia="Times New Roman" w:hAnsi="Arial" w:cs="Arial"/>
          <w:b/>
        </w:rPr>
        <w:t xml:space="preserve"> ZA RAZDOBLJE </w:t>
      </w:r>
      <w:r w:rsidR="0098185C">
        <w:rPr>
          <w:rFonts w:ascii="Arial" w:eastAsia="Times New Roman" w:hAnsi="Arial" w:cs="Arial"/>
          <w:b/>
        </w:rPr>
        <w:t>20</w:t>
      </w:r>
      <w:r w:rsidR="00392622">
        <w:rPr>
          <w:rFonts w:ascii="Arial" w:eastAsia="Times New Roman" w:hAnsi="Arial" w:cs="Arial"/>
          <w:b/>
        </w:rPr>
        <w:t>21</w:t>
      </w:r>
      <w:r w:rsidR="0098185C">
        <w:rPr>
          <w:rFonts w:ascii="Arial" w:eastAsia="Times New Roman" w:hAnsi="Arial" w:cs="Arial"/>
          <w:b/>
        </w:rPr>
        <w:t>.</w:t>
      </w:r>
      <w:r w:rsidRPr="00652DC4">
        <w:rPr>
          <w:rFonts w:ascii="Arial" w:eastAsia="Times New Roman" w:hAnsi="Arial" w:cs="Arial"/>
          <w:b/>
        </w:rPr>
        <w:t xml:space="preserve"> – 20</w:t>
      </w:r>
      <w:r w:rsidR="00254C77">
        <w:rPr>
          <w:rFonts w:ascii="Arial" w:eastAsia="Times New Roman" w:hAnsi="Arial" w:cs="Arial"/>
          <w:b/>
        </w:rPr>
        <w:t>2</w:t>
      </w:r>
      <w:r w:rsidR="00392622">
        <w:rPr>
          <w:rFonts w:ascii="Arial" w:eastAsia="Times New Roman" w:hAnsi="Arial" w:cs="Arial"/>
          <w:b/>
        </w:rPr>
        <w:t>3</w:t>
      </w:r>
      <w:r w:rsidRPr="00652DC4">
        <w:rPr>
          <w:rFonts w:ascii="Arial" w:eastAsia="Times New Roman" w:hAnsi="Arial" w:cs="Arial"/>
          <w:b/>
        </w:rPr>
        <w:t>. GODINE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36C73" w:rsidRDefault="00A36C73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Osnovn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ciljev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Grada </w:t>
      </w:r>
      <w:r w:rsidR="004957D0">
        <w:rPr>
          <w:rFonts w:ascii="Arial" w:eastAsia="Times New Roman" w:hAnsi="Arial" w:cs="Arial"/>
        </w:rPr>
        <w:t>Hvara</w:t>
      </w:r>
      <w:r>
        <w:rPr>
          <w:rFonts w:ascii="Arial" w:eastAsia="Times New Roman" w:hAnsi="Arial" w:cs="Arial"/>
        </w:rPr>
        <w:t xml:space="preserve"> u narednom periodu </w:t>
      </w:r>
      <w:r w:rsidR="00F20D1F">
        <w:rPr>
          <w:rFonts w:ascii="Arial" w:eastAsia="Times New Roman" w:hAnsi="Arial" w:cs="Arial"/>
        </w:rPr>
        <w:t>su</w:t>
      </w:r>
      <w:r w:rsidRPr="00254C77">
        <w:rPr>
          <w:rFonts w:ascii="Arial" w:eastAsia="Times New Roman" w:hAnsi="Arial" w:cs="Arial"/>
        </w:rPr>
        <w:t>:</w:t>
      </w:r>
    </w:p>
    <w:p w:rsidR="00392622" w:rsidRDefault="00392622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ovećanje stupnja učinkovitosti </w:t>
      </w:r>
      <w:r w:rsidR="004445A4" w:rsidRPr="000C2681">
        <w:rPr>
          <w:rFonts w:ascii="Arial" w:eastAsia="Times New Roman" w:hAnsi="Arial" w:cs="Arial"/>
        </w:rPr>
        <w:t xml:space="preserve">i transparentnosti </w:t>
      </w:r>
      <w:r w:rsidR="00254C77" w:rsidRPr="000C2681">
        <w:rPr>
          <w:rFonts w:ascii="Arial" w:eastAsia="Times New Roman" w:hAnsi="Arial" w:cs="Arial"/>
        </w:rPr>
        <w:t>Gradske uprave koja će služiti građanima i pomoći im u ostvarivanju njihovih prava</w:t>
      </w:r>
      <w:r>
        <w:rPr>
          <w:rFonts w:ascii="Arial" w:eastAsia="Times New Roman" w:hAnsi="Arial" w:cs="Arial"/>
        </w:rPr>
        <w:t xml:space="preserve"> te uključivanje građana u participativno planiranje proračuna kroz prijedloge projekata</w:t>
      </w:r>
      <w:r w:rsidR="00984AC9" w:rsidRPr="000C2681">
        <w:rPr>
          <w:rFonts w:ascii="Arial" w:eastAsia="Times New Roman" w:hAnsi="Arial" w:cs="Arial"/>
        </w:rPr>
        <w:t xml:space="preserve"> </w:t>
      </w:r>
    </w:p>
    <w:p w:rsidR="00392622" w:rsidRPr="000C2681" w:rsidRDefault="00392622" w:rsidP="00392622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EA4F65" w:rsidRPr="000C2681" w:rsidRDefault="00EA4F65" w:rsidP="00EA4F65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254C77" w:rsidRPr="000C2681">
        <w:rPr>
          <w:rFonts w:ascii="Arial" w:eastAsia="Times New Roman" w:hAnsi="Arial" w:cs="Arial"/>
        </w:rPr>
        <w:t xml:space="preserve">smišljavanje </w:t>
      </w:r>
      <w:r w:rsidR="00392622">
        <w:rPr>
          <w:rFonts w:ascii="Arial" w:eastAsia="Times New Roman" w:hAnsi="Arial" w:cs="Arial"/>
        </w:rPr>
        <w:t>i provođenje aktivnosti u svrhu poboljšanja gospodarstva Grada Hvara</w:t>
      </w:r>
    </w:p>
    <w:p w:rsidR="00254C77" w:rsidRPr="000C2681" w:rsidRDefault="00254C77" w:rsidP="00254C77">
      <w:pPr>
        <w:pStyle w:val="Odlomakpopisa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okretanje investicija u infrastrukturu, rješavanje </w:t>
      </w:r>
      <w:r w:rsidR="008F4FD7" w:rsidRPr="000C2681">
        <w:rPr>
          <w:rFonts w:ascii="Arial" w:eastAsia="Times New Roman" w:hAnsi="Arial" w:cs="Arial"/>
        </w:rPr>
        <w:t xml:space="preserve">prometne problematike </w:t>
      </w:r>
      <w:r w:rsidRPr="000C2681">
        <w:rPr>
          <w:rFonts w:ascii="Arial" w:eastAsia="Times New Roman" w:hAnsi="Arial" w:cs="Arial"/>
        </w:rPr>
        <w:t>gradskih cesta i ulica</w:t>
      </w:r>
      <w:r w:rsidR="008F4FD7" w:rsidRPr="000C2681">
        <w:rPr>
          <w:rFonts w:ascii="Arial" w:eastAsia="Times New Roman" w:hAnsi="Arial" w:cs="Arial"/>
        </w:rPr>
        <w:t>, izgradnja novih parkirnih mjesta i garaža</w:t>
      </w:r>
      <w:r w:rsidR="00564A8E">
        <w:rPr>
          <w:rFonts w:ascii="Arial" w:eastAsia="Times New Roman" w:hAnsi="Arial" w:cs="Arial"/>
        </w:rPr>
        <w:t>, poboljšanje sustava fekalne i oborinske odvodnje</w:t>
      </w:r>
    </w:p>
    <w:p w:rsidR="004445A4" w:rsidRPr="000C2681" w:rsidRDefault="004445A4" w:rsidP="004445A4">
      <w:pPr>
        <w:pStyle w:val="Odlomakpopisa"/>
        <w:rPr>
          <w:rFonts w:ascii="Arial" w:eastAsia="Times New Roman" w:hAnsi="Arial" w:cs="Arial"/>
        </w:rPr>
      </w:pPr>
    </w:p>
    <w:p w:rsidR="00564A8E" w:rsidRDefault="000C2681" w:rsidP="0062211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392622">
        <w:rPr>
          <w:rFonts w:ascii="Arial" w:eastAsia="Times New Roman" w:hAnsi="Arial" w:cs="Arial"/>
        </w:rPr>
        <w:t>z</w:t>
      </w:r>
      <w:r w:rsidR="00254C77" w:rsidRPr="00392622">
        <w:rPr>
          <w:rFonts w:ascii="Arial" w:eastAsia="Times New Roman" w:hAnsi="Arial" w:cs="Arial"/>
        </w:rPr>
        <w:t xml:space="preserve">adržavanje </w:t>
      </w:r>
      <w:r w:rsidRPr="00392622">
        <w:rPr>
          <w:rFonts w:ascii="Arial" w:eastAsia="Times New Roman" w:hAnsi="Arial" w:cs="Arial"/>
        </w:rPr>
        <w:t xml:space="preserve">i povećanje razine </w:t>
      </w:r>
      <w:r w:rsidR="00254C77" w:rsidRPr="00392622">
        <w:rPr>
          <w:rFonts w:ascii="Arial" w:eastAsia="Times New Roman" w:hAnsi="Arial" w:cs="Arial"/>
        </w:rPr>
        <w:t>standarda i kvalitete uslug</w:t>
      </w:r>
      <w:r w:rsidRPr="00392622">
        <w:rPr>
          <w:rFonts w:ascii="Arial" w:eastAsia="Times New Roman" w:hAnsi="Arial" w:cs="Arial"/>
        </w:rPr>
        <w:t>a</w:t>
      </w:r>
      <w:r w:rsidR="00254C77" w:rsidRPr="00392622">
        <w:rPr>
          <w:rFonts w:ascii="Arial" w:eastAsia="Times New Roman" w:hAnsi="Arial" w:cs="Arial"/>
        </w:rPr>
        <w:t xml:space="preserve"> prema građanima u djelatnosti kulture, pre</w:t>
      </w:r>
      <w:r w:rsidR="00392622" w:rsidRPr="00392622">
        <w:rPr>
          <w:rFonts w:ascii="Arial" w:eastAsia="Times New Roman" w:hAnsi="Arial" w:cs="Arial"/>
        </w:rPr>
        <w:t>dškolskog odgoja i obrazovanja</w:t>
      </w:r>
      <w:r w:rsidR="00392622">
        <w:rPr>
          <w:rFonts w:ascii="Arial" w:eastAsia="Times New Roman" w:hAnsi="Arial" w:cs="Arial"/>
        </w:rPr>
        <w:t>, sportsko-rekreacijskih terena</w:t>
      </w: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D3D6C" w:rsidRDefault="001D3D6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Default="0098185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METODOLOGIJA IZRADE PRORAČUNA JEDINICE LOKALNE I PODRUČNE (REGIONALNE) SAMOUPRAVE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Metodologija za izradu prijedloga financijskog plana odnosno proračuna jedinice lokalne i područne (regionalne) samouprave propisana je Zakonom o proračunu i podzakonskim aktima kojima se regulira provedba Zakona, ponajprije </w:t>
      </w:r>
      <w:r w:rsidRPr="008F465A">
        <w:rPr>
          <w:rFonts w:ascii="Arial" w:eastAsia="Times New Roman" w:hAnsi="Arial" w:cs="Arial"/>
          <w:lang w:eastAsia="hr-HR"/>
        </w:rPr>
        <w:t>Pravilnikom o proračunskim klas</w:t>
      </w:r>
      <w:r w:rsidR="00392622">
        <w:rPr>
          <w:rFonts w:ascii="Arial" w:eastAsia="Times New Roman" w:hAnsi="Arial" w:cs="Arial"/>
          <w:lang w:eastAsia="hr-HR"/>
        </w:rPr>
        <w:t xml:space="preserve">ifikacijama (NN 26/10, </w:t>
      </w:r>
      <w:r w:rsidRPr="008F465A">
        <w:rPr>
          <w:rFonts w:ascii="Arial" w:eastAsia="Times New Roman" w:hAnsi="Arial" w:cs="Arial"/>
          <w:lang w:eastAsia="hr-HR"/>
        </w:rPr>
        <w:t>120/13</w:t>
      </w:r>
      <w:r w:rsidR="00392622">
        <w:rPr>
          <w:rFonts w:ascii="Arial" w:eastAsia="Times New Roman" w:hAnsi="Arial" w:cs="Arial"/>
          <w:lang w:eastAsia="hr-HR"/>
        </w:rPr>
        <w:t xml:space="preserve"> i 1/20</w:t>
      </w:r>
      <w:r w:rsidRPr="008F465A">
        <w:rPr>
          <w:rFonts w:ascii="Arial" w:eastAsia="Times New Roman" w:hAnsi="Arial" w:cs="Arial"/>
          <w:lang w:eastAsia="hr-HR"/>
        </w:rPr>
        <w:t xml:space="preserve">) i Pravilnikom o proračunskom računovodstvu i Računskom planu (NN </w:t>
      </w:r>
      <w:r w:rsidR="00392622" w:rsidRPr="00392622">
        <w:rPr>
          <w:rFonts w:ascii="Arial" w:eastAsia="Times New Roman" w:hAnsi="Arial" w:cs="Arial"/>
          <w:lang w:eastAsia="hr-HR"/>
        </w:rPr>
        <w:t>124/14, 115/15, 87/16, 3/18, 126/19 i </w:t>
      </w:r>
      <w:r w:rsidR="00392622" w:rsidRPr="00392622">
        <w:rPr>
          <w:rFonts w:ascii="Arial" w:eastAsia="Times New Roman" w:hAnsi="Arial" w:cs="Arial"/>
          <w:bCs/>
          <w:lang w:eastAsia="hr-HR"/>
        </w:rPr>
        <w:t>108/20</w:t>
      </w:r>
      <w:r w:rsidRPr="008F465A">
        <w:rPr>
          <w:rFonts w:ascii="Arial" w:eastAsia="Times New Roman" w:hAnsi="Arial" w:cs="Arial"/>
          <w:lang w:eastAsia="hr-HR"/>
        </w:rPr>
        <w:t>)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8185C">
        <w:rPr>
          <w:rFonts w:ascii="Arial" w:eastAsia="Times New Roman" w:hAnsi="Arial" w:cs="Arial"/>
          <w:b/>
          <w:lang w:eastAsia="hr-HR"/>
        </w:rPr>
        <w:t>Proračun JLP(R)S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jedinica lokalne i područne (regionalne) samouprave je akt kojim se procjenjuju prihodi i primici te utvrđuju rashodi i izdaci JLP(R)S za trogodišnje razdoblje, u skladu  sa zakonom i odlukom donesenom na temelju zakona, a donosi ga njezino predstavničko tijelo.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se sastoji od (članak 16. Zakona o proračunu):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općeg dijela 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posebnog dijela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plana razvojnih programa</w:t>
      </w:r>
    </w:p>
    <w:p w:rsidR="0098185C" w:rsidRPr="0098185C" w:rsidRDefault="0098185C" w:rsidP="0098185C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Opći dio proračuna čini Račun prihoda i rashoda i račun financiranja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Posebni dio proračuna sastoji se od plana rashoda i izdataka proračunskih korisnika iskazanih po vrstama, raspoređenih u programe koji se sastoje od aktivnosti i projekata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Plan razvojnih programa je dokument JLP(R)S sastavljen za trogodišnje razdoblje koji sadrži ciljeve i prioritete razvoja Grada </w:t>
      </w:r>
      <w:r w:rsidR="00564A8E">
        <w:rPr>
          <w:rFonts w:ascii="Arial" w:eastAsia="Calibri" w:hAnsi="Arial" w:cs="Arial"/>
          <w:lang w:eastAsia="hr-HR"/>
        </w:rPr>
        <w:t>Hvara</w:t>
      </w:r>
      <w:r w:rsidRPr="0098185C">
        <w:rPr>
          <w:rFonts w:ascii="Arial" w:eastAsia="Calibri" w:hAnsi="Arial" w:cs="Arial"/>
          <w:lang w:eastAsia="hr-HR"/>
        </w:rPr>
        <w:t xml:space="preserve"> povezane s programskom i organizacijskom klasifikacijom proračuna</w:t>
      </w: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Vlastiti i namjenski prihodi i primici svih proračunskih korisnika u proračun jedinice lokalne i područne (regionalne) samouprave</w:t>
      </w: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48. Zakona o proračunu propisana je obveza uplate namjenskih prihoda i primitaka koje ostvare proračunski korisnici jedinice lokalne i područne (regionalne) samouprave u proračun nadležne jedinice. 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Namjenski prihodi i primici proračunskih korisnika jesu: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pomoći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donacije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za posebne namjene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od prodaje ili zamjene imovine u vlasništvu JLP(R)S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naknade s naslova osiguranja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namjenski primici od zaduživanja i prodaje dionica i udjela</w:t>
      </w:r>
    </w:p>
    <w:p w:rsidR="0098185C" w:rsidRPr="0098185C" w:rsidRDefault="0098185C" w:rsidP="0098185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Člankom 52. Zakona o proračunu utvrđuje se obveza uplate vlastitih prihoda proračunskih korisnika u  proračun JLP(R)S.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Odlukom o izvršavanju proračuna JLP(R)S dana je mogućnost propisivanja izuzeća od obveze uplate namjenskih prihoda i primitaka i vlastitih prihoda proračunskih korisnika ako jedinica nije stvorila informatičke preduvjete za praćenje prihoda i primitaka i izvršavanje rashoda iz tih izvora.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Iz članka 16., 17. i 29. Zakona o proračunu proizlazi obveza uključivanja svih prihoda i primitaka, rashoda i izdataka proračunskih korisnika u proračun JLP(R)S, sukladno ekonomskoj, programskoj, funkcijskoj, organizacijskoj, lokacijskoj klasifikaciji i izvorima financiranja jer JLP(R)S moraju osigurati izvještajno praćenje ostvarivanja vlastitih i namjenskih prihoda i primitaka kao i njihova trošenja.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Važni preduvjeti za cjelovito i kvalitetno uključivanje vlastitih i namjenskih prihoda i primitaka proračunskih korisnika u proračun jedinice su: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Utvrditi vrste poslovnih događaja i transakcija koje evidentiraju proračunski korisnici i preispitati ispravnost njihovih evidencija,a to znači da isti poslovni događaj moraju evidentirati na isti način i na istom računu računskog plana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Povezati vrste prihoda sa izvorom financiranja prema Pravilniku o proračunskim klasifikacijama, s tim da dio ovisi o uputama i specifičnostima same jedinice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hanging="1451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Definirati aktivnosti i projekte za proračunske korisnike iz svoje nadležnosti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Utvrditi način praćenja ostvarivanja vlastitih i namjenskih prihoda i primitaka, ako i njihova trošenja. Ako jedinice Odlukom o izvršenju proračuna propiši izuzeće od obveze uplate namjenskih i vlastitih prihoda i primitaka u proračun, moraju osigurati izvještajno praćenje i to uključiti u polugodišnji i godišnji izvještaj o izvršenju proračuna.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Plan razvojnih programa</w:t>
      </w:r>
    </w:p>
    <w:p w:rsidR="0098185C" w:rsidRPr="0098185C" w:rsidRDefault="0098185C" w:rsidP="0098185C">
      <w:pPr>
        <w:spacing w:after="0" w:line="240" w:lineRule="auto"/>
        <w:ind w:left="216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Planovi razvojnih programa predstavljaju strateško-planski dokument</w:t>
      </w:r>
      <w:r w:rsidRPr="0098185C">
        <w:rPr>
          <w:rFonts w:ascii="Arial" w:eastAsia="Calibri" w:hAnsi="Arial" w:cs="Arial"/>
          <w:lang w:eastAsia="hr-HR"/>
        </w:rPr>
        <w:t xml:space="preserve"> JLP(R)S stvarajući dobru pretpostavku za povezivanje svih strateških dokumenata jedinice sa proračunskim planiranjem.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mora sadržavati ciljeve i prioritete razvoja  JLP(R)S, koji su povezani s programskom i organizacijskom klasifikacijom proračuna.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čine: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Ciljevi razvoja</w:t>
      </w:r>
      <w:r w:rsidRPr="0098185C">
        <w:rPr>
          <w:rFonts w:ascii="Arial" w:eastAsia="Times New Roman" w:hAnsi="Arial" w:cs="Arial"/>
        </w:rPr>
        <w:t xml:space="preserve"> – predstavljaju jasan smjer kretanja i djelovanja jedinice u dužem vremenskom razdoblju.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Mjere</w:t>
      </w:r>
      <w:r w:rsidRPr="0098185C">
        <w:rPr>
          <w:rFonts w:ascii="Arial" w:eastAsia="Times New Roman" w:hAnsi="Arial" w:cs="Arial"/>
        </w:rPr>
        <w:t xml:space="preserve"> – koje obuhvaćaju niz specifičnih aktivnosti, čija je provedba usmjerena postizanju određenog cilja razvoja, a njihov redoslijed ukazuje na prioritete razvoja</w:t>
      </w:r>
      <w:r w:rsidRPr="0098185C">
        <w:rPr>
          <w:rFonts w:ascii="Arial" w:eastAsia="Calibri" w:hAnsi="Arial" w:cs="Arial"/>
        </w:rPr>
        <w:t xml:space="preserve"> JLP(R)S.</w:t>
      </w:r>
      <w:r w:rsidRPr="0098185C">
        <w:rPr>
          <w:rFonts w:ascii="Arial" w:eastAsia="Times New Roman" w:hAnsi="Arial" w:cs="Arial"/>
        </w:rPr>
        <w:t xml:space="preserve">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programskom klasifikacijom</w:t>
      </w:r>
      <w:r w:rsidRPr="0098185C">
        <w:rPr>
          <w:rFonts w:ascii="Arial" w:eastAsia="Calibri" w:hAnsi="Arial" w:cs="Arial"/>
        </w:rPr>
        <w:t xml:space="preserve"> – projekti iz proračuna povezuju se s jednom od utvrđenih mjera što se reflektira u proračunu i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proračunom</w:t>
      </w:r>
      <w:r w:rsidRPr="0098185C">
        <w:rPr>
          <w:rFonts w:ascii="Arial" w:eastAsia="Calibri" w:hAnsi="Arial" w:cs="Arial"/>
        </w:rPr>
        <w:t xml:space="preserve"> – sve bi se trebalo reflektirati u proračunu jer na taj način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Pokazatelji rezultata</w:t>
      </w:r>
      <w:r w:rsidRPr="0098185C">
        <w:rPr>
          <w:rFonts w:ascii="Arial" w:eastAsia="Times New Roman" w:hAnsi="Arial" w:cs="Arial"/>
        </w:rPr>
        <w:t xml:space="preserve"> – potrebno ih je utvrditi da bi se moglo pratiti doprinose li uistinu projekti/aktivnosti i koliko ostvarenju mjere s kojom su povezani, a moraju direktno mjeriti uspješnost provedbe aktivnosti/projekta. Utvrđuje se </w:t>
      </w:r>
      <w:r w:rsidRPr="0098185C">
        <w:rPr>
          <w:rFonts w:ascii="Arial" w:eastAsia="Times New Roman" w:hAnsi="Arial" w:cs="Arial"/>
          <w:i/>
        </w:rPr>
        <w:t>polazna vrijednost</w:t>
      </w:r>
      <w:r w:rsidRPr="0098185C">
        <w:rPr>
          <w:rFonts w:ascii="Arial" w:eastAsia="Times New Roman" w:hAnsi="Arial" w:cs="Arial"/>
        </w:rPr>
        <w:t xml:space="preserve"> koja se odnosi na godinu u kojoj se izrađuje proračun i plan </w:t>
      </w:r>
      <w:r w:rsidRPr="0098185C">
        <w:rPr>
          <w:rFonts w:ascii="Arial" w:eastAsia="Times New Roman" w:hAnsi="Arial" w:cs="Arial"/>
        </w:rPr>
        <w:lastRenderedPageBreak/>
        <w:t xml:space="preserve">razvojnih programa, dok se </w:t>
      </w:r>
      <w:r w:rsidRPr="0098185C">
        <w:rPr>
          <w:rFonts w:ascii="Arial" w:eastAsia="Times New Roman" w:hAnsi="Arial" w:cs="Arial"/>
          <w:i/>
        </w:rPr>
        <w:t>ciljane vrijednosti</w:t>
      </w:r>
      <w:r w:rsidRPr="0098185C">
        <w:rPr>
          <w:rFonts w:ascii="Arial" w:eastAsia="Times New Roman" w:hAnsi="Arial" w:cs="Arial"/>
        </w:rPr>
        <w:t xml:space="preserve"> se utvrđuju za naredno trogodišnje razdoblje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Veze s organizacijskom klasifikacijom</w:t>
      </w:r>
      <w:r w:rsidRPr="0098185C">
        <w:rPr>
          <w:rFonts w:ascii="Arial" w:eastAsia="Times New Roman" w:hAnsi="Arial" w:cs="Arial"/>
        </w:rPr>
        <w:t xml:space="preserve"> – sa svrhom povećanja odgovornosti </w:t>
      </w:r>
      <w:r w:rsidR="000203D0">
        <w:rPr>
          <w:rFonts w:ascii="Arial" w:eastAsia="Times New Roman" w:hAnsi="Arial" w:cs="Arial"/>
        </w:rPr>
        <w:t>voditelja</w:t>
      </w:r>
      <w:r w:rsidRPr="0098185C">
        <w:rPr>
          <w:rFonts w:ascii="Arial" w:eastAsia="Times New Roman" w:hAnsi="Arial" w:cs="Arial"/>
        </w:rPr>
        <w:t xml:space="preserve"> pojedinih organizacijskih jedinica u čijoj je nadležnosti zakonito, namjensko i svrhovito trošenje sredstava</w:t>
      </w:r>
    </w:p>
    <w:p w:rsidR="0098185C" w:rsidRPr="0098185C" w:rsidRDefault="0098185C" w:rsidP="0098185C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Budući da JLP(R)S imaju, sukladno Zakonu o regionalnom razvoju RH obvezu izrade strategije razvoja, ciljevi i mjere se mogu preuzeti iz tih dokumenata. Jednom utvrđeni ciljevi i mjere ostaju nepromijenjeni duži niz godina iako su moguće korekcije s obzirom na razvojnu politiku.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Forma proračuna i primjena načela transparentnosti</w:t>
      </w:r>
    </w:p>
    <w:p w:rsidR="0098185C" w:rsidRPr="0098185C" w:rsidRDefault="0098185C" w:rsidP="0098185C">
      <w:pPr>
        <w:spacing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Predstavničko tijelo JLP(R)S donosi proračun JLP(R)S za 20</w:t>
      </w:r>
      <w:r w:rsidR="00564A8E">
        <w:rPr>
          <w:rFonts w:ascii="Arial" w:eastAsia="Times New Roman" w:hAnsi="Arial" w:cs="Arial"/>
          <w:lang w:eastAsia="hr-HR"/>
        </w:rPr>
        <w:t>2</w:t>
      </w:r>
      <w:r w:rsidR="00392622">
        <w:rPr>
          <w:rFonts w:ascii="Arial" w:eastAsia="Times New Roman" w:hAnsi="Arial" w:cs="Arial"/>
          <w:lang w:eastAsia="hr-HR"/>
        </w:rPr>
        <w:t>1</w:t>
      </w:r>
      <w:r w:rsidRPr="0098185C">
        <w:rPr>
          <w:rFonts w:ascii="Arial" w:eastAsia="Times New Roman" w:hAnsi="Arial" w:cs="Arial"/>
          <w:lang w:eastAsia="hr-HR"/>
        </w:rPr>
        <w:t>. godinu na razini podskupine (treća razina računskog plana), a projekcije za 202</w:t>
      </w:r>
      <w:r w:rsidR="00392622">
        <w:rPr>
          <w:rFonts w:ascii="Arial" w:eastAsia="Times New Roman" w:hAnsi="Arial" w:cs="Arial"/>
          <w:lang w:eastAsia="hr-HR"/>
        </w:rPr>
        <w:t>2</w:t>
      </w:r>
      <w:r w:rsidRPr="0098185C">
        <w:rPr>
          <w:rFonts w:ascii="Arial" w:eastAsia="Times New Roman" w:hAnsi="Arial" w:cs="Arial"/>
          <w:lang w:eastAsia="hr-HR"/>
        </w:rPr>
        <w:t>. i 202</w:t>
      </w:r>
      <w:r w:rsidR="00392622">
        <w:rPr>
          <w:rFonts w:ascii="Arial" w:eastAsia="Times New Roman" w:hAnsi="Arial" w:cs="Arial"/>
          <w:lang w:eastAsia="hr-HR"/>
        </w:rPr>
        <w:t>3</w:t>
      </w:r>
      <w:r w:rsidRPr="0098185C">
        <w:rPr>
          <w:rFonts w:ascii="Arial" w:eastAsia="Times New Roman" w:hAnsi="Arial" w:cs="Arial"/>
          <w:lang w:eastAsia="hr-HR"/>
        </w:rPr>
        <w:t xml:space="preserve">. godinu na razini skupine (druga razina računskog plana). Zbog toga jedinice u procesu izvršavanja proračuna ne smiju sprječavati svoje proračunske korisnike u probijanju stavki detaljnije razine (četvrte ili pete), uključujući i one proračunske korisnike koji posluju preko sustava riznice. 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Ograničenje koje moraju poštivati i jedinice i njihovi proračunski korisnici jest treća razina ekonomske klasifikacije.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Međutim u godišnjem i polugodišnjem izvještaju o izvršenju proračuna izvještava se na razini odjeljka (četvrtoj razini ekonomske klasifikacije) kako članovi predstavničkih tijela, ako i šira javnost ne bi bila uskraćena za potrebne informacije.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12. Zakona o proračunu propisano je jedno od ključnih proračunskih načela – </w:t>
      </w:r>
      <w:r w:rsidRPr="0098185C">
        <w:rPr>
          <w:rFonts w:ascii="Arial" w:eastAsia="Times New Roman" w:hAnsi="Arial" w:cs="Arial"/>
          <w:b/>
          <w:lang w:eastAsia="hr-HR"/>
        </w:rPr>
        <w:t>načelo transparentnosti</w:t>
      </w:r>
      <w:r w:rsidRPr="0098185C">
        <w:rPr>
          <w:rFonts w:ascii="Arial" w:eastAsia="Times New Roman" w:hAnsi="Arial" w:cs="Arial"/>
          <w:lang w:eastAsia="hr-HR"/>
        </w:rPr>
        <w:t>. Ono je iznimno važno zbog uvida javnosti u trošenje proračunskih sredstava. Stoga su JLP(R)S obvezene objaviti u službenom glasilu, odnosno na internetskim stranicama: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Proračun i projekcije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Odluku o privremenom financiranju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Izmjene i dopune proračuna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 xml:space="preserve">Godišnji izvještaj o izvršenju 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Godišnje financijske izvještaje</w:t>
      </w:r>
    </w:p>
    <w:p w:rsidR="0098185C" w:rsidRPr="0098185C" w:rsidRDefault="0098185C" w:rsidP="0098185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Proračunska transparentnost osim pozitivnih učinaka na kvalitetu upravljanja donosi i značajne financijske koristi.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64A8E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392622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202</w:t>
      </w:r>
      <w:r w:rsidR="00392622">
        <w:rPr>
          <w:rFonts w:ascii="Arial" w:eastAsia="Calibri" w:hAnsi="Arial" w:cs="Times New Roman"/>
        </w:rPr>
        <w:t>1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094DC0">
        <w:rPr>
          <w:rFonts w:ascii="Arial" w:eastAsia="Calibri" w:hAnsi="Arial" w:cs="Times New Roman"/>
          <w:b/>
        </w:rPr>
        <w:t>3</w:t>
      </w:r>
      <w:r w:rsidR="006318B6">
        <w:rPr>
          <w:rFonts w:ascii="Arial" w:eastAsia="Calibri" w:hAnsi="Arial" w:cs="Times New Roman"/>
          <w:b/>
        </w:rPr>
        <w:t>4</w:t>
      </w:r>
      <w:r w:rsidR="00E84B81" w:rsidRPr="00E84B81">
        <w:rPr>
          <w:rFonts w:ascii="Arial" w:eastAsia="Calibri" w:hAnsi="Arial" w:cs="Times New Roman"/>
          <w:b/>
        </w:rPr>
        <w:t>.</w:t>
      </w:r>
      <w:r w:rsidR="006318B6">
        <w:rPr>
          <w:rFonts w:ascii="Arial" w:eastAsia="Calibri" w:hAnsi="Arial" w:cs="Times New Roman"/>
          <w:b/>
        </w:rPr>
        <w:t>215</w:t>
      </w:r>
      <w:r w:rsidR="00E84B81" w:rsidRPr="00E84B81">
        <w:rPr>
          <w:rFonts w:ascii="Arial" w:eastAsia="Calibri" w:hAnsi="Arial" w:cs="Times New Roman"/>
          <w:b/>
        </w:rPr>
        <w:t>.</w:t>
      </w:r>
      <w:r w:rsidR="00392622">
        <w:rPr>
          <w:rFonts w:ascii="Arial" w:eastAsia="Calibri" w:hAnsi="Arial" w:cs="Times New Roman"/>
          <w:b/>
        </w:rPr>
        <w:t>35</w:t>
      </w:r>
      <w:r w:rsidR="00564A8E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392622" w:rsidRPr="00E84B81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6318B6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</w:t>
      </w:r>
      <w:r w:rsidR="00392622">
        <w:rPr>
          <w:rFonts w:ascii="Arial" w:eastAsia="Calibri" w:hAnsi="Arial" w:cs="Times New Roman"/>
        </w:rPr>
        <w:t>…3</w:t>
      </w:r>
      <w:r w:rsidR="006318B6">
        <w:rPr>
          <w:rFonts w:ascii="Arial" w:eastAsia="Calibri" w:hAnsi="Arial" w:cs="Times New Roman"/>
        </w:rPr>
        <w:t>3</w:t>
      </w:r>
      <w:r w:rsidR="00E84B81" w:rsidRPr="00E84B81">
        <w:rPr>
          <w:rFonts w:ascii="Arial" w:eastAsia="Calibri" w:hAnsi="Arial" w:cs="Times New Roman"/>
        </w:rPr>
        <w:t>.</w:t>
      </w:r>
      <w:r w:rsidR="006318B6">
        <w:rPr>
          <w:rFonts w:ascii="Arial" w:eastAsia="Calibri" w:hAnsi="Arial" w:cs="Times New Roman"/>
        </w:rPr>
        <w:t>006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6</w:t>
      </w:r>
      <w:r w:rsidR="00094DC0">
        <w:rPr>
          <w:rFonts w:ascii="Arial" w:eastAsia="Calibri" w:hAnsi="Arial" w:cs="Times New Roman"/>
        </w:rPr>
        <w:t>50</w:t>
      </w:r>
      <w:r w:rsidRPr="00E84B81">
        <w:rPr>
          <w:rFonts w:ascii="Arial" w:eastAsia="Calibri" w:hAnsi="Arial" w:cs="Times New Roman"/>
        </w:rPr>
        <w:t xml:space="preserve"> 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korisnika……………………………………...…....…</w:t>
      </w:r>
      <w:r w:rsidR="00392622">
        <w:rPr>
          <w:rFonts w:ascii="Arial" w:eastAsia="Calibri" w:hAnsi="Arial" w:cs="Times New Roman"/>
        </w:rPr>
        <w:t>1.208</w:t>
      </w:r>
      <w:r w:rsidR="00564A8E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7</w:t>
      </w:r>
      <w:r w:rsidR="00564A8E">
        <w:rPr>
          <w:rFonts w:ascii="Arial" w:eastAsia="Calibri" w:hAnsi="Arial" w:cs="Times New Roman"/>
        </w:rPr>
        <w:t>00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6318B6" w:rsidRDefault="006318B6" w:rsidP="00FF1C7A">
      <w:pPr>
        <w:spacing w:after="0" w:line="240" w:lineRule="auto"/>
        <w:rPr>
          <w:rFonts w:ascii="Arial" w:eastAsia="Calibri" w:hAnsi="Arial" w:cs="Times New Roman"/>
        </w:rPr>
      </w:pPr>
    </w:p>
    <w:p w:rsidR="00392622" w:rsidRDefault="00392622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poslovanja……………………………………………..………......</w:t>
      </w:r>
      <w:r w:rsidR="006318B6">
        <w:rPr>
          <w:rFonts w:ascii="Arial" w:eastAsia="Calibri" w:hAnsi="Arial" w:cs="Times New Roman"/>
        </w:rPr>
        <w:t>31</w:t>
      </w:r>
      <w:r w:rsidR="00A55BC3">
        <w:rPr>
          <w:rFonts w:ascii="Arial" w:eastAsia="Calibri" w:hAnsi="Arial" w:cs="Times New Roman"/>
        </w:rPr>
        <w:t>.</w:t>
      </w:r>
      <w:r w:rsidR="006318B6">
        <w:rPr>
          <w:rFonts w:ascii="Arial" w:eastAsia="Calibri" w:hAnsi="Arial" w:cs="Times New Roman"/>
        </w:rPr>
        <w:t>501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8</w:t>
      </w:r>
      <w:r w:rsidR="00A55BC3">
        <w:rPr>
          <w:rFonts w:ascii="Arial" w:eastAsia="Calibri" w:hAnsi="Arial" w:cs="Times New Roman"/>
        </w:rPr>
        <w:t>00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imovine……………………………....…</w:t>
      </w:r>
      <w:r w:rsidR="00392622">
        <w:rPr>
          <w:rFonts w:ascii="Arial" w:eastAsia="Calibri" w:hAnsi="Arial" w:cs="Times New Roman"/>
        </w:rPr>
        <w:t>……8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..................</w:t>
      </w:r>
      <w:r w:rsidR="00392622">
        <w:rPr>
          <w:rFonts w:ascii="Arial" w:eastAsia="Calibri" w:hAnsi="Arial" w:cs="Times New Roman"/>
        </w:rPr>
        <w:t>.....2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7</w:t>
      </w:r>
      <w:r w:rsidR="00A55BC3">
        <w:rPr>
          <w:rFonts w:ascii="Arial" w:eastAsia="Calibri" w:hAnsi="Arial" w:cs="Times New Roman"/>
        </w:rPr>
        <w:t>0</w:t>
      </w:r>
      <w:r w:rsidR="00392622">
        <w:rPr>
          <w:rFonts w:ascii="Arial" w:eastAsia="Calibri" w:hAnsi="Arial" w:cs="Times New Roman"/>
        </w:rPr>
        <w:t>5</w:t>
      </w:r>
      <w:r w:rsidR="00A55BC3">
        <w:rPr>
          <w:rFonts w:ascii="Arial" w:eastAsia="Calibri" w:hAnsi="Arial" w:cs="Times New Roman"/>
        </w:rPr>
        <w:t>.</w:t>
      </w:r>
      <w:r w:rsidR="00392622">
        <w:rPr>
          <w:rFonts w:ascii="Arial" w:eastAsia="Calibri" w:hAnsi="Arial" w:cs="Times New Roman"/>
        </w:rPr>
        <w:t>55</w:t>
      </w:r>
      <w:r w:rsidR="00A55BC3">
        <w:rPr>
          <w:rFonts w:ascii="Arial" w:eastAsia="Calibri" w:hAnsi="Arial" w:cs="Times New Roman"/>
        </w:rPr>
        <w:t>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066A3C">
        <w:rPr>
          <w:rFonts w:ascii="Arial" w:eastAsia="Calibri" w:hAnsi="Arial" w:cs="Times New Roman"/>
        </w:rPr>
        <w:t>2</w:t>
      </w:r>
      <w:r w:rsidR="00392622">
        <w:rPr>
          <w:rFonts w:ascii="Arial" w:eastAsia="Calibri" w:hAnsi="Arial" w:cs="Times New Roman"/>
        </w:rPr>
        <w:t>1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Komunalna naknada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Komunalni doprinos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392622" w:rsidRDefault="00392622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Primici od financijske imovine i zaduživanja</w:t>
      </w:r>
    </w:p>
    <w:p w:rsidR="004832DD" w:rsidRPr="00E22A3A" w:rsidRDefault="004832DD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E22A3A" w:rsidRPr="00E22A3A" w:rsidRDefault="00E22A3A" w:rsidP="00812C2B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22A3A">
        <w:rPr>
          <w:rFonts w:ascii="Arial" w:eastAsia="Times New Roman" w:hAnsi="Arial" w:cs="Arial"/>
        </w:rPr>
        <w:t>Primici od zaduživanja</w:t>
      </w: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A55BC3">
        <w:rPr>
          <w:rFonts w:ascii="Arial" w:eastAsia="Times New Roman" w:hAnsi="Arial" w:cs="Arial"/>
        </w:rPr>
        <w:t>2</w:t>
      </w:r>
      <w:r w:rsidR="00FA49CD">
        <w:rPr>
          <w:rFonts w:ascii="Arial" w:eastAsia="Times New Roman" w:hAnsi="Arial" w:cs="Arial"/>
        </w:rPr>
        <w:t>1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502DEB">
        <w:rPr>
          <w:rFonts w:ascii="Arial" w:eastAsia="Times New Roman" w:hAnsi="Arial" w:cs="Arial"/>
          <w:b/>
        </w:rPr>
        <w:t>3</w:t>
      </w:r>
      <w:r w:rsidR="006318B6">
        <w:rPr>
          <w:rFonts w:ascii="Arial" w:eastAsia="Times New Roman" w:hAnsi="Arial" w:cs="Arial"/>
          <w:b/>
        </w:rPr>
        <w:t>6</w:t>
      </w:r>
      <w:r w:rsidR="00A55BC3">
        <w:rPr>
          <w:rFonts w:ascii="Arial" w:eastAsia="Times New Roman" w:hAnsi="Arial" w:cs="Arial"/>
          <w:b/>
        </w:rPr>
        <w:t>.</w:t>
      </w:r>
      <w:r w:rsidR="006318B6">
        <w:rPr>
          <w:rFonts w:ascii="Arial" w:eastAsia="Times New Roman" w:hAnsi="Arial" w:cs="Arial"/>
          <w:b/>
        </w:rPr>
        <w:t>435</w:t>
      </w:r>
      <w:r w:rsidR="00502DEB">
        <w:rPr>
          <w:rFonts w:ascii="Arial" w:eastAsia="Times New Roman" w:hAnsi="Arial" w:cs="Arial"/>
          <w:b/>
        </w:rPr>
        <w:t>.3</w:t>
      </w:r>
      <w:r w:rsidR="00A55BC3">
        <w:rPr>
          <w:rFonts w:ascii="Arial" w:eastAsia="Times New Roman" w:hAnsi="Arial" w:cs="Arial"/>
          <w:b/>
        </w:rPr>
        <w:t xml:space="preserve">50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502DEB">
        <w:rPr>
          <w:rFonts w:ascii="Arial" w:eastAsia="Times New Roman" w:hAnsi="Arial" w:cs="Arial"/>
        </w:rPr>
        <w:t>…</w:t>
      </w:r>
      <w:r w:rsidR="006318B6">
        <w:rPr>
          <w:rFonts w:ascii="Arial" w:eastAsia="Times New Roman" w:hAnsi="Arial" w:cs="Arial"/>
        </w:rPr>
        <w:t>31</w:t>
      </w:r>
      <w:r w:rsidR="00502DEB">
        <w:rPr>
          <w:rFonts w:ascii="Arial" w:eastAsia="Times New Roman" w:hAnsi="Arial" w:cs="Arial"/>
        </w:rPr>
        <w:t>.</w:t>
      </w:r>
      <w:r w:rsidR="006318B6">
        <w:rPr>
          <w:rFonts w:ascii="Arial" w:eastAsia="Times New Roman" w:hAnsi="Arial" w:cs="Arial"/>
        </w:rPr>
        <w:t>06</w:t>
      </w:r>
      <w:r w:rsidR="00502DEB">
        <w:rPr>
          <w:rFonts w:ascii="Arial" w:eastAsia="Times New Roman" w:hAnsi="Arial" w:cs="Arial"/>
        </w:rPr>
        <w:t>6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700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</w:t>
      </w:r>
      <w:r w:rsidR="00502DEB">
        <w:rPr>
          <w:rFonts w:ascii="Arial" w:eastAsia="Times New Roman" w:hAnsi="Arial" w:cs="Arial"/>
        </w:rPr>
        <w:t>.5</w:t>
      </w:r>
      <w:r w:rsidRPr="00071B80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368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650</w:t>
      </w:r>
      <w:r w:rsidR="00A55BC3"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502DEB">
        <w:rPr>
          <w:rFonts w:ascii="Arial" w:eastAsia="Times New Roman" w:hAnsi="Arial" w:cs="Arial"/>
        </w:rPr>
        <w:t>2</w:t>
      </w:r>
      <w:r w:rsidR="00AC419B">
        <w:rPr>
          <w:rFonts w:ascii="Arial" w:eastAsia="Times New Roman" w:hAnsi="Arial" w:cs="Arial"/>
        </w:rPr>
        <w:t>5</w:t>
      </w:r>
      <w:r w:rsidR="00A55BC3">
        <w:rPr>
          <w:rFonts w:ascii="Arial" w:eastAsia="Times New Roman" w:hAnsi="Arial" w:cs="Arial"/>
        </w:rPr>
        <w:t>.</w:t>
      </w:r>
      <w:r w:rsidR="00AC419B">
        <w:rPr>
          <w:rFonts w:ascii="Arial" w:eastAsia="Times New Roman" w:hAnsi="Arial" w:cs="Arial"/>
        </w:rPr>
        <w:t>50</w:t>
      </w:r>
      <w:r w:rsidR="00502DEB">
        <w:rPr>
          <w:rFonts w:ascii="Arial" w:eastAsia="Times New Roman" w:hAnsi="Arial" w:cs="Arial"/>
        </w:rPr>
        <w:t>5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70</w:t>
      </w:r>
      <w:r w:rsidR="00A55BC3">
        <w:rPr>
          <w:rFonts w:ascii="Arial" w:eastAsia="Times New Roman" w:hAnsi="Arial" w:cs="Arial"/>
        </w:rPr>
        <w:t>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</w:t>
      </w:r>
      <w:r w:rsidR="00AC419B">
        <w:rPr>
          <w:rFonts w:ascii="Arial" w:eastAsia="Times New Roman" w:hAnsi="Arial" w:cs="Arial"/>
        </w:rPr>
        <w:t>…10</w:t>
      </w:r>
      <w:r w:rsidR="00502DEB">
        <w:rPr>
          <w:rFonts w:ascii="Arial" w:eastAsia="Times New Roman" w:hAnsi="Arial" w:cs="Arial"/>
        </w:rPr>
        <w:t>.9</w:t>
      </w:r>
      <w:r w:rsidR="00AC419B">
        <w:rPr>
          <w:rFonts w:ascii="Arial" w:eastAsia="Times New Roman" w:hAnsi="Arial" w:cs="Arial"/>
        </w:rPr>
        <w:t>09</w:t>
      </w:r>
      <w:r w:rsidR="00A55BC3">
        <w:rPr>
          <w:rFonts w:ascii="Arial" w:eastAsia="Times New Roman" w:hAnsi="Arial" w:cs="Arial"/>
        </w:rPr>
        <w:t>.</w:t>
      </w:r>
      <w:r w:rsidR="00502DEB">
        <w:rPr>
          <w:rFonts w:ascii="Arial" w:eastAsia="Times New Roman" w:hAnsi="Arial" w:cs="Arial"/>
        </w:rPr>
        <w:t>650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502DEB">
        <w:rPr>
          <w:rFonts w:ascii="Arial" w:eastAsia="Times New Roman" w:hAnsi="Arial" w:cs="Arial"/>
        </w:rPr>
        <w:t>……………………....20</w:t>
      </w:r>
      <w:r w:rsidR="00A55BC3">
        <w:rPr>
          <w:rFonts w:ascii="Arial" w:eastAsia="Times New Roman" w:hAnsi="Arial" w:cs="Arial"/>
        </w:rPr>
        <w:t>.000</w:t>
      </w:r>
      <w:r w:rsidRPr="00071B80">
        <w:rPr>
          <w:rFonts w:ascii="Arial" w:eastAsia="Times New Roman" w:hAnsi="Arial" w:cs="Arial"/>
        </w:rPr>
        <w:t>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FA49CD">
        <w:rPr>
          <w:rFonts w:ascii="Arial" w:eastAsia="Times New Roman" w:hAnsi="Arial" w:cs="Arial"/>
        </w:rPr>
        <w:t>21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lastRenderedPageBreak/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41B2" w:rsidRPr="00071B80" w:rsidRDefault="008641B2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Izdaci za financijsku imovinu i otplate zajmova</w:t>
      </w:r>
    </w:p>
    <w:p w:rsidR="00863C76" w:rsidRDefault="00863C76" w:rsidP="00863C76">
      <w:pPr>
        <w:spacing w:line="240" w:lineRule="auto"/>
        <w:contextualSpacing/>
        <w:rPr>
          <w:rFonts w:ascii="Arial" w:eastAsia="Times New Roman" w:hAnsi="Arial" w:cs="Arial"/>
          <w:b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>Grad Hvar planira koristiti viškove</w:t>
      </w:r>
      <w:r w:rsidR="00334A09">
        <w:rPr>
          <w:rFonts w:ascii="Arial" w:eastAsia="Times New Roman" w:hAnsi="Arial" w:cs="Arial"/>
          <w:bCs/>
        </w:rPr>
        <w:t xml:space="preserve"> prethodnih godina u iznosu od 2</w:t>
      </w:r>
      <w:r w:rsidRPr="00094DC0">
        <w:rPr>
          <w:rFonts w:ascii="Arial" w:eastAsia="Times New Roman" w:hAnsi="Arial" w:cs="Arial"/>
          <w:bCs/>
        </w:rPr>
        <w:t>.</w:t>
      </w:r>
      <w:r w:rsidR="00334A09">
        <w:rPr>
          <w:rFonts w:ascii="Arial" w:eastAsia="Times New Roman" w:hAnsi="Arial" w:cs="Arial"/>
          <w:bCs/>
        </w:rPr>
        <w:t>12</w:t>
      </w:r>
      <w:r w:rsidR="008641B2">
        <w:rPr>
          <w:rFonts w:ascii="Arial" w:eastAsia="Times New Roman" w:hAnsi="Arial" w:cs="Arial"/>
          <w:bCs/>
        </w:rPr>
        <w:t>0</w:t>
      </w:r>
      <w:r w:rsidRPr="00094DC0">
        <w:rPr>
          <w:rFonts w:ascii="Arial" w:eastAsia="Times New Roman" w:hAnsi="Arial" w:cs="Arial"/>
          <w:bCs/>
        </w:rPr>
        <w:t>.</w:t>
      </w:r>
      <w:r w:rsidR="008641B2">
        <w:rPr>
          <w:rFonts w:ascii="Arial" w:eastAsia="Times New Roman" w:hAnsi="Arial" w:cs="Arial"/>
          <w:bCs/>
        </w:rPr>
        <w:t>00</w:t>
      </w:r>
      <w:r w:rsidRPr="00094DC0">
        <w:rPr>
          <w:rFonts w:ascii="Arial" w:eastAsia="Times New Roman" w:hAnsi="Arial" w:cs="Arial"/>
          <w:bCs/>
        </w:rPr>
        <w:t>0 kuna, a Dječji vrtić u iznosu od</w:t>
      </w:r>
      <w:r w:rsidR="008641B2">
        <w:rPr>
          <w:rFonts w:ascii="Arial" w:eastAsia="Times New Roman" w:hAnsi="Arial" w:cs="Arial"/>
          <w:bCs/>
        </w:rPr>
        <w:t xml:space="preserve"> 100.000,00 kuna. U 2021</w:t>
      </w:r>
      <w:r w:rsidRPr="00094DC0">
        <w:rPr>
          <w:rFonts w:ascii="Arial" w:eastAsia="Times New Roman" w:hAnsi="Arial" w:cs="Arial"/>
          <w:bCs/>
        </w:rPr>
        <w:t>.godini planira se i</w:t>
      </w:r>
      <w:r w:rsidR="00334A09">
        <w:rPr>
          <w:rFonts w:ascii="Arial" w:eastAsia="Times New Roman" w:hAnsi="Arial" w:cs="Arial"/>
          <w:bCs/>
        </w:rPr>
        <w:t>skoristiti viškove u iznosu od 2</w:t>
      </w:r>
      <w:r w:rsidRPr="00094DC0">
        <w:rPr>
          <w:rFonts w:ascii="Arial" w:eastAsia="Times New Roman" w:hAnsi="Arial" w:cs="Arial"/>
          <w:bCs/>
        </w:rPr>
        <w:t>.</w:t>
      </w:r>
      <w:r w:rsidR="00334A09">
        <w:rPr>
          <w:rFonts w:ascii="Arial" w:eastAsia="Times New Roman" w:hAnsi="Arial" w:cs="Arial"/>
          <w:bCs/>
        </w:rPr>
        <w:t>220</w:t>
      </w:r>
      <w:r w:rsidR="008641B2">
        <w:rPr>
          <w:rFonts w:ascii="Arial" w:eastAsia="Times New Roman" w:hAnsi="Arial" w:cs="Arial"/>
          <w:bCs/>
        </w:rPr>
        <w:t>.00</w:t>
      </w:r>
      <w:r w:rsidRPr="00094DC0">
        <w:rPr>
          <w:rFonts w:ascii="Arial" w:eastAsia="Times New Roman" w:hAnsi="Arial" w:cs="Arial"/>
          <w:bCs/>
        </w:rPr>
        <w:t>0</w:t>
      </w:r>
      <w:r w:rsidR="008641B2">
        <w:rPr>
          <w:rFonts w:ascii="Arial" w:eastAsia="Times New Roman" w:hAnsi="Arial" w:cs="Arial"/>
          <w:bCs/>
        </w:rPr>
        <w:t>,00</w:t>
      </w:r>
      <w:r w:rsidRPr="00094DC0">
        <w:rPr>
          <w:rFonts w:ascii="Arial" w:eastAsia="Times New Roman" w:hAnsi="Arial" w:cs="Arial"/>
          <w:bCs/>
        </w:rPr>
        <w:t xml:space="preserve">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lastRenderedPageBreak/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327552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641B2" w:rsidRDefault="008641B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P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5E0713">
        <w:rPr>
          <w:rFonts w:ascii="Arial" w:hAnsi="Arial" w:cs="Arial"/>
          <w:sz w:val="22"/>
          <w:szCs w:val="22"/>
          <w:u w:val="none"/>
        </w:rPr>
        <w:t>Program: 1001 – rashodi u ovom programu su vezani za troškove rada Gradskog vijeća, Gradonačelnika i Gradske uprave, odnosno za plaće, naknade, materijalne rashode te nabavke opreme za poslovanje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1002 – rashodi u ovom programu vezani su za troškove prigodnih mani</w:t>
      </w:r>
      <w:r w:rsidR="008641B2">
        <w:rPr>
          <w:rFonts w:ascii="Arial" w:hAnsi="Arial" w:cs="Arial"/>
          <w:sz w:val="22"/>
          <w:szCs w:val="22"/>
          <w:u w:val="none"/>
        </w:rPr>
        <w:t>festacija, priredbi i koncerata</w:t>
      </w:r>
      <w:r w:rsidRPr="005E0713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 i otplatu glavnice primljenih kredita.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</w:t>
      </w:r>
      <w:r w:rsidR="008641B2">
        <w:rPr>
          <w:rFonts w:ascii="Arial" w:hAnsi="Arial" w:cs="Arial"/>
          <w:sz w:val="22"/>
          <w:szCs w:val="22"/>
          <w:u w:val="none"/>
        </w:rPr>
        <w:t>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programima, uz planiranje otkupa zemljišta za izgradnju cesta i putova.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sanaciju odlagališta i izgradnju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 dvorišta.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fondova. U ovoj godini nisu planirani izdaci za ovaj program budući da su strateški dokumenti izrađeni prijašnjih godina, te sada slijedi faza implementacije.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geodetsko-katastarske poslove, te na uređenje Etno-eko sela.</w:t>
      </w:r>
    </w:p>
    <w:p w:rsid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1012 – rashodi vezani sa razvoj vodovodne mreže</w:t>
      </w:r>
      <w:r w:rsidR="008641B2">
        <w:rPr>
          <w:rFonts w:ascii="Arial" w:hAnsi="Arial" w:cs="Arial"/>
          <w:sz w:val="22"/>
          <w:szCs w:val="22"/>
          <w:u w:val="none"/>
        </w:rPr>
        <w:t>, a ove godine nema planiranih rashoda.</w:t>
      </w:r>
    </w:p>
    <w:p w:rsidR="00327552" w:rsidRPr="008641B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8641B2">
        <w:rPr>
          <w:rFonts w:ascii="Arial" w:hAnsi="Arial" w:cs="Arial"/>
          <w:sz w:val="22"/>
          <w:szCs w:val="22"/>
          <w:u w:val="none"/>
        </w:rPr>
        <w:t>Program: 1013 – odnosi se na ulaganje u održavanje i izgradnju javne rasvjete, te trošak električne energije za javnu rasvjetu sukladno programima. U ovom programu planirano je namjens</w:t>
      </w:r>
      <w:r w:rsidR="008641B2">
        <w:rPr>
          <w:rFonts w:ascii="Arial" w:hAnsi="Arial" w:cs="Arial"/>
          <w:sz w:val="22"/>
          <w:szCs w:val="22"/>
          <w:u w:val="none"/>
        </w:rPr>
        <w:t xml:space="preserve">ko zaduženje u HBOR-u </w:t>
      </w:r>
      <w:proofErr w:type="spellStart"/>
      <w:r w:rsidR="008641B2">
        <w:rPr>
          <w:rFonts w:ascii="Arial" w:hAnsi="Arial" w:cs="Arial"/>
          <w:sz w:val="22"/>
          <w:szCs w:val="22"/>
          <w:u w:val="none"/>
        </w:rPr>
        <w:t>u</w:t>
      </w:r>
      <w:proofErr w:type="spellEnd"/>
      <w:r w:rsidR="008641B2">
        <w:rPr>
          <w:rFonts w:ascii="Arial" w:hAnsi="Arial" w:cs="Arial"/>
          <w:sz w:val="22"/>
          <w:szCs w:val="22"/>
          <w:u w:val="none"/>
        </w:rPr>
        <w:t xml:space="preserve"> iznosu 2</w:t>
      </w:r>
      <w:r w:rsidRPr="008641B2">
        <w:rPr>
          <w:rFonts w:ascii="Arial" w:hAnsi="Arial" w:cs="Arial"/>
          <w:sz w:val="22"/>
          <w:szCs w:val="22"/>
          <w:u w:val="none"/>
        </w:rPr>
        <w:t>.</w:t>
      </w:r>
      <w:r w:rsidR="008641B2">
        <w:rPr>
          <w:rFonts w:ascii="Arial" w:hAnsi="Arial" w:cs="Arial"/>
          <w:sz w:val="22"/>
          <w:szCs w:val="22"/>
          <w:u w:val="none"/>
        </w:rPr>
        <w:t>705</w:t>
      </w:r>
      <w:r w:rsidRPr="008641B2">
        <w:rPr>
          <w:rFonts w:ascii="Arial" w:hAnsi="Arial" w:cs="Arial"/>
          <w:sz w:val="22"/>
          <w:szCs w:val="22"/>
          <w:u w:val="none"/>
        </w:rPr>
        <w:t>.</w:t>
      </w:r>
      <w:r w:rsidR="008641B2">
        <w:rPr>
          <w:rFonts w:ascii="Arial" w:hAnsi="Arial" w:cs="Arial"/>
          <w:sz w:val="22"/>
          <w:szCs w:val="22"/>
          <w:u w:val="none"/>
        </w:rPr>
        <w:t>55</w:t>
      </w:r>
      <w:r w:rsidRPr="008641B2">
        <w:rPr>
          <w:rFonts w:ascii="Arial" w:hAnsi="Arial" w:cs="Arial"/>
          <w:sz w:val="22"/>
          <w:szCs w:val="22"/>
          <w:u w:val="none"/>
        </w:rPr>
        <w:t>0 kuna za projekt modernizacije</w:t>
      </w:r>
      <w:r w:rsidR="005E0713" w:rsidRPr="008641B2">
        <w:rPr>
          <w:rFonts w:ascii="Arial" w:hAnsi="Arial" w:cs="Arial"/>
          <w:sz w:val="22"/>
          <w:szCs w:val="22"/>
          <w:u w:val="none"/>
        </w:rPr>
        <w:t xml:space="preserve"> cjelokupne</w:t>
      </w:r>
      <w:r w:rsidRPr="008641B2">
        <w:rPr>
          <w:rFonts w:ascii="Arial" w:hAnsi="Arial" w:cs="Arial"/>
          <w:sz w:val="22"/>
          <w:szCs w:val="22"/>
          <w:u w:val="none"/>
        </w:rPr>
        <w:t xml:space="preserve"> ja</w:t>
      </w:r>
      <w:r w:rsidR="005E0713" w:rsidRPr="008641B2">
        <w:rPr>
          <w:rFonts w:ascii="Arial" w:hAnsi="Arial" w:cs="Arial"/>
          <w:sz w:val="22"/>
          <w:szCs w:val="22"/>
          <w:u w:val="none"/>
        </w:rPr>
        <w:t>vne rasvjete.</w:t>
      </w:r>
      <w:r w:rsidRPr="008641B2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održavanja i uređenja </w:t>
      </w:r>
      <w:r w:rsidR="008641B2">
        <w:rPr>
          <w:rFonts w:ascii="Arial" w:hAnsi="Arial" w:cs="Arial"/>
          <w:sz w:val="22"/>
          <w:szCs w:val="22"/>
          <w:u w:val="none"/>
        </w:rPr>
        <w:t>obale i obalnog pojasa te izradu</w:t>
      </w:r>
      <w:r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</w:p>
    <w:p w:rsidR="0032755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tr</w:t>
      </w:r>
      <w:r w:rsidR="008641B2">
        <w:rPr>
          <w:rFonts w:ascii="Arial" w:hAnsi="Arial" w:cs="Arial"/>
          <w:sz w:val="22"/>
          <w:szCs w:val="22"/>
          <w:u w:val="none"/>
        </w:rPr>
        <w:t xml:space="preserve">oškove tj. donacije u zdravstvu. </w:t>
      </w:r>
      <w:r w:rsidRPr="005E0713">
        <w:rPr>
          <w:rFonts w:ascii="Arial" w:hAnsi="Arial" w:cs="Arial"/>
          <w:sz w:val="22"/>
          <w:szCs w:val="22"/>
          <w:u w:val="none"/>
        </w:rPr>
        <w:t xml:space="preserve">Iako Grad nema zakonsku obvezu izdvajati za zdravstvo u interesu građana je povećani zdravstveni standard po stoga su i planirane donacije. Najveći dio tekućih donacija odnosi se na Hitnu medicinsku pomoć. </w:t>
      </w:r>
    </w:p>
    <w:p w:rsidR="006E0F3A" w:rsidRPr="006E0F3A" w:rsidRDefault="006E0F3A" w:rsidP="006E0F3A"/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lastRenderedPageBreak/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programu unapređenja i razvoja sporta na području grada. Osim danih donacija u ovom programu značajni troškovi odnose se na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uređenje sportskog terena Tenis</w:t>
      </w:r>
      <w:r w:rsidRPr="005E0713">
        <w:rPr>
          <w:rFonts w:ascii="Arial" w:hAnsi="Arial" w:cs="Arial"/>
          <w:sz w:val="22"/>
          <w:szCs w:val="22"/>
          <w:u w:val="none"/>
        </w:rPr>
        <w:t xml:space="preserve">, te izradu dokumentacija za izgradnju sportskog centra.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 xml:space="preserve">se na donacije vjerskim zajednicama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3275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Najveći dio pripada kapitalnoj pomoći za uređenje školske zgrade te njeno opremanje.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se na poslove socijalne skrbi. </w:t>
      </w:r>
    </w:p>
    <w:p w:rsidR="005E0713" w:rsidRDefault="005E0713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8641B2">
        <w:rPr>
          <w:rFonts w:ascii="Arial" w:hAnsi="Arial" w:cs="Arial"/>
        </w:rPr>
        <w:t>.</w:t>
      </w:r>
    </w:p>
    <w:p w:rsidR="005E0713" w:rsidRPr="005E0713" w:rsidRDefault="005E0713" w:rsidP="003F4D74">
      <w:pPr>
        <w:pStyle w:val="Odlomakpopisa"/>
        <w:ind w:left="1440"/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8641B2">
        <w:rPr>
          <w:rFonts w:ascii="Arial" w:hAnsi="Arial" w:cs="Arial"/>
        </w:rPr>
        <w:t>, te ulaganja u izgradnju prostora nove knjižnice</w:t>
      </w:r>
      <w:r w:rsidRPr="003F4D74">
        <w:rPr>
          <w:rFonts w:ascii="Arial" w:hAnsi="Arial" w:cs="Arial"/>
        </w:rPr>
        <w:t xml:space="preserve">. 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00104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</w:t>
      </w:r>
      <w:r>
        <w:rPr>
          <w:rFonts w:ascii="Arial" w:hAnsi="Arial" w:cs="Arial"/>
        </w:rPr>
        <w:t>4</w:t>
      </w:r>
      <w:r w:rsidRPr="003F4D74">
        <w:rPr>
          <w:rFonts w:ascii="Arial" w:hAnsi="Arial" w:cs="Arial"/>
        </w:rPr>
        <w:t xml:space="preserve">001 – rashodi u ovom programu su vezani </w:t>
      </w:r>
      <w:r>
        <w:rPr>
          <w:rFonts w:ascii="Arial" w:hAnsi="Arial" w:cs="Arial"/>
        </w:rPr>
        <w:t>uz</w:t>
      </w:r>
      <w:r w:rsidRPr="003F4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osnivanje i funkcioniranje Ustanove u kulturi</w:t>
      </w:r>
      <w:r w:rsidR="008641B2">
        <w:rPr>
          <w:rFonts w:ascii="Arial" w:hAnsi="Arial" w:cs="Arial"/>
        </w:rPr>
        <w:t xml:space="preserve">, a isti nisu planirani zbog </w:t>
      </w:r>
      <w:proofErr w:type="spellStart"/>
      <w:r w:rsidR="008641B2">
        <w:rPr>
          <w:rFonts w:ascii="Arial" w:hAnsi="Arial" w:cs="Arial"/>
        </w:rPr>
        <w:t>pandemije</w:t>
      </w:r>
      <w:proofErr w:type="spellEnd"/>
      <w:r w:rsidR="008641B2">
        <w:rPr>
          <w:rFonts w:ascii="Arial" w:hAnsi="Arial" w:cs="Arial"/>
        </w:rPr>
        <w:t xml:space="preserve"> uzrokovane COVID-19.</w:t>
      </w:r>
    </w:p>
    <w:p w:rsidR="003F4D74" w:rsidRPr="00327552" w:rsidRDefault="003F4D74" w:rsidP="003F4D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Sastavni dio Obrazloženja nacrta prijedloga Proračuna Grada Hvara </w:t>
      </w:r>
      <w:r w:rsidR="008641B2">
        <w:rPr>
          <w:rFonts w:ascii="Arial" w:hAnsi="Arial" w:cs="Arial"/>
        </w:rPr>
        <w:t>za 2021. sa projekcijama za 2022. i 2023</w:t>
      </w:r>
      <w:r>
        <w:rPr>
          <w:rFonts w:ascii="Arial" w:hAnsi="Arial" w:cs="Arial"/>
        </w:rPr>
        <w:t>. godinu je prijedlog Plana prihoda i primitaka, te rashoda i izdata</w:t>
      </w:r>
      <w:r w:rsidR="008641B2">
        <w:rPr>
          <w:rFonts w:ascii="Arial" w:hAnsi="Arial" w:cs="Arial"/>
        </w:rPr>
        <w:t>ka Proračuna Grada Hvara za 2021</w:t>
      </w:r>
      <w:r w:rsidR="00930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Proračuna Grada Hvara za 202</w:t>
      </w:r>
      <w:r w:rsidR="009303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na razini odjeljka ekonomske klasifikacije.  </w:t>
      </w:r>
    </w:p>
    <w:sectPr w:rsidR="003F4D74" w:rsidRPr="00327552" w:rsidSect="00C724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03" w:rsidRDefault="00275A03" w:rsidP="009568AF">
      <w:pPr>
        <w:spacing w:after="0" w:line="240" w:lineRule="auto"/>
      </w:pPr>
      <w:r>
        <w:separator/>
      </w:r>
    </w:p>
  </w:endnote>
  <w:endnote w:type="continuationSeparator" w:id="0">
    <w:p w:rsidR="00275A03" w:rsidRDefault="00275A03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03" w:rsidRDefault="00275A03" w:rsidP="009568AF">
      <w:pPr>
        <w:spacing w:after="0" w:line="240" w:lineRule="auto"/>
      </w:pPr>
      <w:r>
        <w:separator/>
      </w:r>
    </w:p>
  </w:footnote>
  <w:footnote w:type="continuationSeparator" w:id="0">
    <w:p w:rsidR="00275A03" w:rsidRDefault="00275A03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A"/>
    <w:rsid w:val="000019BC"/>
    <w:rsid w:val="0001076F"/>
    <w:rsid w:val="00011934"/>
    <w:rsid w:val="0001301C"/>
    <w:rsid w:val="000203D0"/>
    <w:rsid w:val="000212AA"/>
    <w:rsid w:val="000324AD"/>
    <w:rsid w:val="00046378"/>
    <w:rsid w:val="000466DA"/>
    <w:rsid w:val="00053F8B"/>
    <w:rsid w:val="000603BF"/>
    <w:rsid w:val="00066A3C"/>
    <w:rsid w:val="00074143"/>
    <w:rsid w:val="00094DC0"/>
    <w:rsid w:val="000A7768"/>
    <w:rsid w:val="000B269C"/>
    <w:rsid w:val="000B3C1D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3D6C"/>
    <w:rsid w:val="001D5BFE"/>
    <w:rsid w:val="001F135F"/>
    <w:rsid w:val="001F2E95"/>
    <w:rsid w:val="00200416"/>
    <w:rsid w:val="00201082"/>
    <w:rsid w:val="00201802"/>
    <w:rsid w:val="002145CF"/>
    <w:rsid w:val="00223810"/>
    <w:rsid w:val="0022718A"/>
    <w:rsid w:val="002329F2"/>
    <w:rsid w:val="0023778A"/>
    <w:rsid w:val="0024048F"/>
    <w:rsid w:val="00252AC6"/>
    <w:rsid w:val="002536DC"/>
    <w:rsid w:val="00254C77"/>
    <w:rsid w:val="002634CF"/>
    <w:rsid w:val="00263E64"/>
    <w:rsid w:val="002656FD"/>
    <w:rsid w:val="00275A03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4A09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262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02DEB"/>
    <w:rsid w:val="00522B2A"/>
    <w:rsid w:val="00523022"/>
    <w:rsid w:val="00527427"/>
    <w:rsid w:val="005315A4"/>
    <w:rsid w:val="00532F8B"/>
    <w:rsid w:val="005362B5"/>
    <w:rsid w:val="0053787D"/>
    <w:rsid w:val="00547486"/>
    <w:rsid w:val="00562B2C"/>
    <w:rsid w:val="005637B0"/>
    <w:rsid w:val="00564A8E"/>
    <w:rsid w:val="00574426"/>
    <w:rsid w:val="0059019D"/>
    <w:rsid w:val="005A229D"/>
    <w:rsid w:val="005A6DD7"/>
    <w:rsid w:val="005B0C02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18B6"/>
    <w:rsid w:val="0063740C"/>
    <w:rsid w:val="00641B4B"/>
    <w:rsid w:val="00646CA7"/>
    <w:rsid w:val="00652DC4"/>
    <w:rsid w:val="00654189"/>
    <w:rsid w:val="00662F0F"/>
    <w:rsid w:val="0066388A"/>
    <w:rsid w:val="00663E38"/>
    <w:rsid w:val="00664E56"/>
    <w:rsid w:val="006734CF"/>
    <w:rsid w:val="0067766E"/>
    <w:rsid w:val="006807BC"/>
    <w:rsid w:val="006833D1"/>
    <w:rsid w:val="006941D7"/>
    <w:rsid w:val="00696BAE"/>
    <w:rsid w:val="006A1188"/>
    <w:rsid w:val="006B0788"/>
    <w:rsid w:val="006B1300"/>
    <w:rsid w:val="006B75E8"/>
    <w:rsid w:val="006C69FC"/>
    <w:rsid w:val="006E0F3A"/>
    <w:rsid w:val="006E15AB"/>
    <w:rsid w:val="006E191D"/>
    <w:rsid w:val="006E59B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77807"/>
    <w:rsid w:val="00780857"/>
    <w:rsid w:val="007814FF"/>
    <w:rsid w:val="00781F7B"/>
    <w:rsid w:val="00782E3E"/>
    <w:rsid w:val="007A2A3B"/>
    <w:rsid w:val="007B3D62"/>
    <w:rsid w:val="007B4C45"/>
    <w:rsid w:val="007B51CB"/>
    <w:rsid w:val="007F3452"/>
    <w:rsid w:val="007F3764"/>
    <w:rsid w:val="007F7EFD"/>
    <w:rsid w:val="00810EEA"/>
    <w:rsid w:val="00812C2B"/>
    <w:rsid w:val="0083729F"/>
    <w:rsid w:val="00853C13"/>
    <w:rsid w:val="008556D2"/>
    <w:rsid w:val="00860F46"/>
    <w:rsid w:val="00863C76"/>
    <w:rsid w:val="008641B2"/>
    <w:rsid w:val="0086547E"/>
    <w:rsid w:val="00866767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2BD0"/>
    <w:rsid w:val="00923FF7"/>
    <w:rsid w:val="0092701F"/>
    <w:rsid w:val="009303F4"/>
    <w:rsid w:val="009333F7"/>
    <w:rsid w:val="009461A5"/>
    <w:rsid w:val="009568AF"/>
    <w:rsid w:val="00967F9B"/>
    <w:rsid w:val="0097338A"/>
    <w:rsid w:val="00973F67"/>
    <w:rsid w:val="0098185C"/>
    <w:rsid w:val="009829F1"/>
    <w:rsid w:val="00984AC9"/>
    <w:rsid w:val="009873CA"/>
    <w:rsid w:val="009922FB"/>
    <w:rsid w:val="0099728F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419B"/>
    <w:rsid w:val="00AC66D0"/>
    <w:rsid w:val="00AD06F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377A6"/>
    <w:rsid w:val="00C442CE"/>
    <w:rsid w:val="00C44C73"/>
    <w:rsid w:val="00C61FE3"/>
    <w:rsid w:val="00C66686"/>
    <w:rsid w:val="00C724F5"/>
    <w:rsid w:val="00C75381"/>
    <w:rsid w:val="00C8631E"/>
    <w:rsid w:val="00C87A41"/>
    <w:rsid w:val="00C948F6"/>
    <w:rsid w:val="00CA6FCC"/>
    <w:rsid w:val="00CD0C6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97419"/>
    <w:rsid w:val="00DA21E4"/>
    <w:rsid w:val="00DB5363"/>
    <w:rsid w:val="00DB562F"/>
    <w:rsid w:val="00DC0C7B"/>
    <w:rsid w:val="00DD3CC8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49CD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3F0-EA1B-4C57-A472-E3EDDE65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2855</Words>
  <Characters>16277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</cp:lastModifiedBy>
  <cp:revision>31</cp:revision>
  <cp:lastPrinted>2020-12-04T07:37:00Z</cp:lastPrinted>
  <dcterms:created xsi:type="dcterms:W3CDTF">2019-11-14T16:21:00Z</dcterms:created>
  <dcterms:modified xsi:type="dcterms:W3CDTF">2020-12-23T14:31:00Z</dcterms:modified>
</cp:coreProperties>
</file>