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E8" w:rsidRPr="008B16D3" w:rsidRDefault="00E0513F">
      <w:pPr>
        <w:rPr>
          <w:b/>
          <w:sz w:val="40"/>
          <w:szCs w:val="40"/>
        </w:rPr>
      </w:pPr>
      <w:bookmarkStart w:id="0" w:name="_GoBack"/>
      <w:bookmarkEnd w:id="0"/>
      <w:r w:rsidRPr="008B16D3">
        <w:rPr>
          <w:b/>
          <w:sz w:val="40"/>
          <w:szCs w:val="40"/>
        </w:rPr>
        <w:t>B I LJ E Š K E</w:t>
      </w:r>
    </w:p>
    <w:p w:rsidR="00E0513F" w:rsidRDefault="00E0513F"/>
    <w:p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GRADSKA KNJIŽNICA I ČITAONICA HVAR</w:t>
      </w:r>
    </w:p>
    <w:p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RAZDOBLJE: 01.01. -</w:t>
      </w:r>
      <w:r w:rsidR="00D97B0C">
        <w:rPr>
          <w:b/>
          <w:sz w:val="28"/>
          <w:szCs w:val="28"/>
        </w:rPr>
        <w:t xml:space="preserve"> 31.12.201</w:t>
      </w:r>
      <w:r w:rsidR="00D3740F">
        <w:rPr>
          <w:b/>
          <w:sz w:val="28"/>
          <w:szCs w:val="28"/>
        </w:rPr>
        <w:t>7</w:t>
      </w:r>
    </w:p>
    <w:p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U</w:t>
      </w:r>
      <w:r w:rsidR="00D97B0C">
        <w:rPr>
          <w:b/>
          <w:sz w:val="28"/>
          <w:szCs w:val="28"/>
        </w:rPr>
        <w:t>S</w:t>
      </w:r>
      <w:r w:rsidRPr="008B16D3">
        <w:rPr>
          <w:b/>
          <w:sz w:val="28"/>
          <w:szCs w:val="28"/>
        </w:rPr>
        <w:t>POREDNO RAZDOBLJE: 01.01.</w:t>
      </w:r>
      <w:r w:rsidR="00D97B0C">
        <w:rPr>
          <w:b/>
          <w:sz w:val="28"/>
          <w:szCs w:val="28"/>
        </w:rPr>
        <w:t xml:space="preserve"> </w:t>
      </w:r>
      <w:r w:rsidRPr="008B16D3">
        <w:rPr>
          <w:b/>
          <w:sz w:val="28"/>
          <w:szCs w:val="28"/>
        </w:rPr>
        <w:t>-</w:t>
      </w:r>
      <w:r w:rsidR="00D97B0C">
        <w:rPr>
          <w:b/>
          <w:sz w:val="28"/>
          <w:szCs w:val="28"/>
        </w:rPr>
        <w:t xml:space="preserve"> </w:t>
      </w:r>
      <w:r w:rsidR="000656A5">
        <w:rPr>
          <w:b/>
          <w:sz w:val="28"/>
          <w:szCs w:val="28"/>
        </w:rPr>
        <w:t>31.12.201</w:t>
      </w:r>
      <w:r w:rsidR="00D97B0C">
        <w:rPr>
          <w:b/>
          <w:sz w:val="28"/>
          <w:szCs w:val="28"/>
        </w:rPr>
        <w:t>6</w:t>
      </w:r>
    </w:p>
    <w:p w:rsidR="00E0513F" w:rsidRDefault="00E0513F"/>
    <w:p w:rsidR="005F7AE0" w:rsidRPr="008B16D3" w:rsidRDefault="00D3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obrazac PR-RAS</w:t>
      </w:r>
    </w:p>
    <w:p w:rsidR="008B16D3" w:rsidRDefault="008B16D3"/>
    <w:p w:rsidR="00E0513F" w:rsidRPr="00EA6718" w:rsidRDefault="007F2D85">
      <w:pPr>
        <w:rPr>
          <w:b/>
          <w:u w:val="single"/>
        </w:rPr>
      </w:pPr>
      <w:r w:rsidRPr="00EA6718">
        <w:rPr>
          <w:b/>
          <w:u w:val="single"/>
        </w:rPr>
        <w:t>PRIHODI POSLOVANJA</w:t>
      </w:r>
    </w:p>
    <w:p w:rsidR="00EA6718" w:rsidRDefault="00EA6718">
      <w:pPr>
        <w:rPr>
          <w:b/>
          <w:i/>
        </w:rPr>
      </w:pPr>
    </w:p>
    <w:p w:rsidR="00E0513F" w:rsidRPr="00EA6718" w:rsidRDefault="00E0513F">
      <w:pPr>
        <w:rPr>
          <w:b/>
          <w:i/>
        </w:rPr>
      </w:pPr>
      <w:r w:rsidRPr="008B16D3">
        <w:rPr>
          <w:b/>
          <w:i/>
        </w:rPr>
        <w:t>Bilješka 1.</w:t>
      </w:r>
      <w:r w:rsidR="00517813" w:rsidRPr="008B16D3">
        <w:rPr>
          <w:b/>
          <w:i/>
        </w:rPr>
        <w:t xml:space="preserve"> (AOP 001)</w:t>
      </w:r>
    </w:p>
    <w:p w:rsidR="00517813" w:rsidRDefault="00E0513F" w:rsidP="00517813">
      <w:r>
        <w:t>Prihodi poslovanja Gradske knji</w:t>
      </w:r>
      <w:r w:rsidR="00517813">
        <w:t xml:space="preserve">žnice i čitaonice u odnosu na isto razdoblje prethodne godine iskazuju </w:t>
      </w:r>
      <w:r w:rsidR="00D3740F">
        <w:t>za 4,5% u odnosu na usporedno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40E1E" w:rsidRPr="00540E1E" w:rsidTr="00540E1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1E" w:rsidRPr="00540E1E" w:rsidRDefault="00540E1E" w:rsidP="00540E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1E" w:rsidRPr="00540E1E" w:rsidRDefault="00D3740F" w:rsidP="00540E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586.296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7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1E" w:rsidRPr="00540E1E" w:rsidRDefault="00D3740F" w:rsidP="00540E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559.928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1E" w:rsidRPr="00540E1E" w:rsidRDefault="00D3740F" w:rsidP="00540E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95,5</w:t>
            </w:r>
          </w:p>
        </w:tc>
      </w:tr>
    </w:tbl>
    <w:p w:rsidR="00517813" w:rsidRDefault="00517813" w:rsidP="00517813"/>
    <w:p w:rsidR="00540E1E" w:rsidRDefault="00540E1E" w:rsidP="00517813"/>
    <w:p w:rsidR="00540E1E" w:rsidRDefault="00540E1E" w:rsidP="00517813">
      <w:r>
        <w:t>Prihodi poslovanja Gradske knjižnice i čitaonice Hvar sastoje se od slijedećih prihoda i iskazuju slijedeće Indekse kretanja:</w:t>
      </w:r>
    </w:p>
    <w:p w:rsidR="007F2D85" w:rsidRDefault="007F2D85" w:rsidP="00517813"/>
    <w:p w:rsidR="007F2D85" w:rsidRPr="00EA6718" w:rsidRDefault="007F2D85" w:rsidP="00517813">
      <w:pPr>
        <w:rPr>
          <w:b/>
          <w:i/>
        </w:rPr>
      </w:pPr>
      <w:r w:rsidRPr="008B16D3">
        <w:rPr>
          <w:b/>
          <w:i/>
        </w:rPr>
        <w:t>Bilješka 2. Prihodi od kapitalnih pomoći</w:t>
      </w:r>
    </w:p>
    <w:p w:rsidR="007F2D85" w:rsidRDefault="007F2D85" w:rsidP="007F2D85">
      <w:r>
        <w:t xml:space="preserve">Prihodi od kapitalnih pomoći iz </w:t>
      </w:r>
      <w:r w:rsidR="000656A5">
        <w:t>ne</w:t>
      </w:r>
      <w:r>
        <w:t xml:space="preserve">nadležnog proračuna u odnosu na proteklo razdoblje nisu se </w:t>
      </w:r>
      <w:r w:rsidR="00D3740F">
        <w:t>bilježe rast od 3,4 %.</w:t>
      </w:r>
    </w:p>
    <w:p w:rsidR="00540E1E" w:rsidRDefault="00540E1E" w:rsidP="00517813"/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0656A5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58.000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7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D3740F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D3740F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103,4</w:t>
            </w:r>
          </w:p>
        </w:tc>
      </w:tr>
    </w:tbl>
    <w:p w:rsidR="00540E1E" w:rsidRDefault="00540E1E" w:rsidP="00517813"/>
    <w:p w:rsidR="005F5C87" w:rsidRPr="007F2D85" w:rsidRDefault="005F5C87" w:rsidP="00517813">
      <w:pPr>
        <w:rPr>
          <w:i/>
        </w:rPr>
      </w:pPr>
    </w:p>
    <w:p w:rsidR="00EA6718" w:rsidRPr="008B16D3" w:rsidRDefault="007F2D85" w:rsidP="00517813">
      <w:pPr>
        <w:rPr>
          <w:b/>
          <w:i/>
        </w:rPr>
      </w:pPr>
      <w:r w:rsidRPr="008B16D3">
        <w:rPr>
          <w:b/>
          <w:i/>
        </w:rPr>
        <w:t>Bilješka 3. Prihodi od financijske imovine</w:t>
      </w:r>
    </w:p>
    <w:p w:rsidR="005F5C87" w:rsidRDefault="007F2D85" w:rsidP="00517813">
      <w:r>
        <w:t xml:space="preserve">Prihodi od financijske imovine sastoje se od prihoda od kamata na oročena sredstva kod banke i depozite po viđenju, a kod istih je registriran </w:t>
      </w:r>
      <w:r w:rsidR="00D3740F">
        <w:t>pad</w:t>
      </w:r>
      <w:r>
        <w:t xml:space="preserve"> zbog </w:t>
      </w:r>
      <w:r w:rsidR="00D3740F">
        <w:t>smanjenja novčanog toka.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07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D3740F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2016.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D3740F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D3740F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2017.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D3740F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C87" w:rsidRPr="005F5C87" w:rsidRDefault="00D3740F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20,7</w:t>
            </w:r>
          </w:p>
        </w:tc>
      </w:tr>
    </w:tbl>
    <w:p w:rsidR="007F2D85" w:rsidRDefault="007F2D85" w:rsidP="00517813"/>
    <w:p w:rsidR="00EA6718" w:rsidRDefault="00EA6718" w:rsidP="00517813">
      <w:pPr>
        <w:rPr>
          <w:b/>
          <w:i/>
        </w:rPr>
      </w:pPr>
    </w:p>
    <w:p w:rsidR="008B16D3" w:rsidRPr="00EA6718" w:rsidRDefault="007F2D85" w:rsidP="007F2D85">
      <w:pPr>
        <w:rPr>
          <w:b/>
          <w:i/>
        </w:rPr>
      </w:pPr>
      <w:r w:rsidRPr="008B16D3">
        <w:rPr>
          <w:b/>
          <w:i/>
        </w:rPr>
        <w:lastRenderedPageBreak/>
        <w:t>Bilješka 4. Ostali nespomenuti prihodi</w:t>
      </w:r>
    </w:p>
    <w:p w:rsidR="007F2D85" w:rsidRDefault="00D3740F" w:rsidP="007F2D85">
      <w:r>
        <w:t>P</w:t>
      </w:r>
      <w:r w:rsidR="004A0D88">
        <w:t>rihod</w:t>
      </w:r>
      <w:r>
        <w:t>i</w:t>
      </w:r>
      <w:r w:rsidR="004A0D88">
        <w:t xml:space="preserve"> od pristojbi</w:t>
      </w:r>
      <w:r>
        <w:t xml:space="preserve"> </w:t>
      </w:r>
      <w:r w:rsidR="007F2D85">
        <w:t>bilježe</w:t>
      </w:r>
      <w:r>
        <w:t xml:space="preserve"> u odnosu na uporedno razdoblje bilježe rast </w:t>
      </w:r>
      <w:r w:rsidR="00DC0963">
        <w:t>zbog smanjenja dugova.</w:t>
      </w:r>
      <w:r w:rsidR="007F2D85">
        <w:t xml:space="preserve"> </w:t>
      </w:r>
    </w:p>
    <w:p w:rsidR="007F2D85" w:rsidRDefault="007F2D85" w:rsidP="00517813"/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01C4E" w:rsidRPr="00B01C4E" w:rsidTr="00B01C4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4E" w:rsidRPr="00B01C4E" w:rsidRDefault="00B01C4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1C4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4E" w:rsidRPr="00B01C4E" w:rsidRDefault="00D3740F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2016.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4E" w:rsidRPr="00B01C4E" w:rsidRDefault="00D3740F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15.286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4E" w:rsidRPr="00B01C4E" w:rsidRDefault="00D3740F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2017.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4E" w:rsidRPr="00B01C4E" w:rsidRDefault="00D3740F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16.864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4E" w:rsidRPr="00B01C4E" w:rsidRDefault="00D3740F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110,3</w:t>
            </w:r>
          </w:p>
        </w:tc>
      </w:tr>
    </w:tbl>
    <w:p w:rsidR="00B01C4E" w:rsidRDefault="00B01C4E" w:rsidP="00517813"/>
    <w:p w:rsidR="008B16D3" w:rsidRDefault="008B16D3" w:rsidP="00517813"/>
    <w:p w:rsidR="00122FC8" w:rsidRDefault="007F2D85" w:rsidP="00517813">
      <w:pPr>
        <w:rPr>
          <w:b/>
          <w:i/>
        </w:rPr>
      </w:pPr>
      <w:r w:rsidRPr="008B16D3">
        <w:rPr>
          <w:b/>
          <w:i/>
        </w:rPr>
        <w:t>Bilješka 5. Prihodi iz nadležnog proračuna</w:t>
      </w:r>
    </w:p>
    <w:p w:rsidR="007F2D85" w:rsidRDefault="00DC0963" w:rsidP="00517813">
      <w:r>
        <w:t>Prihodi od nadležnog proračuna u ukupnom iznosu bilježe pad za 6%, u odnosu na prethodno izvještajno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122FC8" w:rsidRPr="00122FC8" w:rsidTr="00122FC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130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C8" w:rsidRPr="00122FC8" w:rsidRDefault="00DC0963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512,981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7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C8" w:rsidRPr="00122FC8" w:rsidRDefault="00DC0963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482.255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FC8" w:rsidRPr="00122FC8" w:rsidRDefault="00DC0963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94</w:t>
            </w:r>
          </w:p>
        </w:tc>
      </w:tr>
    </w:tbl>
    <w:p w:rsidR="00122FC8" w:rsidRDefault="00122FC8" w:rsidP="00517813"/>
    <w:p w:rsidR="00DC0963" w:rsidRDefault="00DC0963" w:rsidP="00517813">
      <w:r>
        <w:t>Veći pad je zabilježen  kod prihoda za nabavu nefinancije imovine</w:t>
      </w:r>
      <w:r w:rsidR="00422749">
        <w:t xml:space="preserve"> (AOP 132)</w:t>
      </w:r>
      <w:r w:rsidR="00B8796B">
        <w:t>,</w:t>
      </w:r>
      <w:r w:rsidR="00422749">
        <w:t xml:space="preserve"> zbog manje potrebe nabave osnovnih sredstava, dok </w:t>
      </w:r>
      <w:r w:rsidR="00B8796B">
        <w:t xml:space="preserve"> prihodi za financiranje rashoda poslovanja (AOP 133)</w:t>
      </w:r>
      <w:r w:rsidR="00422749">
        <w:t xml:space="preserve"> bilježe pad najvećim dijelom zbog smanjenja broja radnika u zadnjem kvartalu izvještajne godine.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F2548E" w:rsidRPr="00F2548E" w:rsidTr="00DC096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F2548E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2548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132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431.884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415.165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96.1</w:t>
            </w:r>
          </w:p>
        </w:tc>
      </w:tr>
      <w:tr w:rsidR="00F2548E" w:rsidRPr="00F2548E" w:rsidTr="00DC096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F2548E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2548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13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81.097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2017.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67.090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48E" w:rsidRPr="00F2548E" w:rsidRDefault="00DC0963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82,7</w:t>
            </w:r>
          </w:p>
        </w:tc>
      </w:tr>
    </w:tbl>
    <w:p w:rsidR="00F2548E" w:rsidRDefault="00F2548E" w:rsidP="00517813"/>
    <w:p w:rsidR="007F2D85" w:rsidRDefault="007F2D85" w:rsidP="00517813"/>
    <w:p w:rsidR="00EA6718" w:rsidRDefault="00EA6718" w:rsidP="00517813"/>
    <w:p w:rsidR="007F2D85" w:rsidRPr="00EA6718" w:rsidRDefault="007F2D85" w:rsidP="00517813">
      <w:pPr>
        <w:rPr>
          <w:b/>
          <w:u w:val="single"/>
        </w:rPr>
      </w:pPr>
      <w:bookmarkStart w:id="1" w:name="OLE_LINK9"/>
      <w:bookmarkStart w:id="2" w:name="OLE_LINK10"/>
      <w:r w:rsidRPr="00EA6718">
        <w:rPr>
          <w:b/>
          <w:u w:val="single"/>
        </w:rPr>
        <w:t>RASHODI POSLOVANJA</w:t>
      </w:r>
    </w:p>
    <w:bookmarkEnd w:id="1"/>
    <w:bookmarkEnd w:id="2"/>
    <w:p w:rsidR="007F2D85" w:rsidRDefault="007F2D85" w:rsidP="00517813"/>
    <w:p w:rsidR="007F2D85" w:rsidRPr="008B16D3" w:rsidRDefault="007F2D85" w:rsidP="00517813">
      <w:pPr>
        <w:rPr>
          <w:b/>
          <w:i/>
        </w:rPr>
      </w:pPr>
      <w:r w:rsidRPr="008B16D3">
        <w:rPr>
          <w:b/>
          <w:i/>
        </w:rPr>
        <w:t xml:space="preserve">Bilješka 6. (AOP </w:t>
      </w:r>
      <w:r w:rsidR="00422749">
        <w:rPr>
          <w:b/>
          <w:i/>
        </w:rPr>
        <w:t>148</w:t>
      </w:r>
      <w:r w:rsidRPr="008B16D3">
        <w:rPr>
          <w:b/>
          <w:i/>
        </w:rPr>
        <w:t>)</w:t>
      </w:r>
    </w:p>
    <w:p w:rsidR="007F2D85" w:rsidRDefault="007F2D85" w:rsidP="007F2D85">
      <w:r>
        <w:t xml:space="preserve">Rashodi poslovanja Gradske knjižnice i čitaonice u odnosu na isto razdoblje prethodne godine iskazuju </w:t>
      </w:r>
      <w:r w:rsidR="00422749">
        <w:t>pad za 5,3%.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7F2D85" w:rsidRPr="007F2D85" w:rsidTr="0050624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5" w:rsidRPr="007F2D85" w:rsidRDefault="007F2D85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7F2D85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5" w:rsidRPr="007F2D85" w:rsidRDefault="0042274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2016.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5" w:rsidRPr="007F2D85" w:rsidRDefault="00422749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454,819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5" w:rsidRPr="007F2D85" w:rsidRDefault="0042274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2017.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5" w:rsidRPr="007F2D85" w:rsidRDefault="00422749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430,894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D85" w:rsidRPr="007F2D85" w:rsidRDefault="00422749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94,7</w:t>
            </w:r>
          </w:p>
        </w:tc>
      </w:tr>
    </w:tbl>
    <w:p w:rsidR="00EA6718" w:rsidRDefault="00EA6718" w:rsidP="00517813"/>
    <w:p w:rsidR="00506243" w:rsidRDefault="00506243" w:rsidP="00517813">
      <w:r>
        <w:t xml:space="preserve">Troškovi po pojedinim pozicijama </w:t>
      </w:r>
      <w:r w:rsidR="00BB5B42">
        <w:t>pojedinačno su bilježili i značajan rast i pad, iz različitih poslovnih razloga.</w:t>
      </w:r>
    </w:p>
    <w:p w:rsidR="00DC0963" w:rsidRDefault="00DC0963" w:rsidP="00517813">
      <w:pPr>
        <w:rPr>
          <w:b/>
          <w:i/>
        </w:rPr>
      </w:pPr>
    </w:p>
    <w:p w:rsidR="00BB5B42" w:rsidRPr="00EA6718" w:rsidRDefault="00BB5B42" w:rsidP="00517813">
      <w:pPr>
        <w:rPr>
          <w:b/>
          <w:i/>
        </w:rPr>
      </w:pPr>
      <w:r w:rsidRPr="008B16D3">
        <w:rPr>
          <w:b/>
          <w:i/>
        </w:rPr>
        <w:t>Bilješka 7. Rashodi za zaposlene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BB5B42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148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422749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2016.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42274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342,749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422749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2017.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42274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335.495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42274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97,9</w:t>
            </w:r>
          </w:p>
        </w:tc>
      </w:tr>
    </w:tbl>
    <w:p w:rsidR="00BB5B42" w:rsidRPr="00BB5B42" w:rsidRDefault="00BB5B42" w:rsidP="00517813"/>
    <w:p w:rsidR="00EA6718" w:rsidRDefault="00422749" w:rsidP="00517813">
      <w:pPr>
        <w:rPr>
          <w:i/>
        </w:rPr>
      </w:pPr>
      <w:r>
        <w:t>Rashodi za zaposlene u odnosu na uporedno razdoblje nisu se značajno promijenili.</w:t>
      </w:r>
    </w:p>
    <w:p w:rsidR="00EA6718" w:rsidRDefault="00EA6718" w:rsidP="00517813">
      <w:pPr>
        <w:rPr>
          <w:i/>
        </w:rPr>
      </w:pPr>
    </w:p>
    <w:p w:rsidR="00EA6718" w:rsidRPr="00EA6718" w:rsidRDefault="00EA6718" w:rsidP="00517813">
      <w:pPr>
        <w:rPr>
          <w:i/>
        </w:rPr>
      </w:pPr>
    </w:p>
    <w:p w:rsidR="00BB5B42" w:rsidRPr="00EA6718" w:rsidRDefault="00BB5B42" w:rsidP="00517813">
      <w:pPr>
        <w:rPr>
          <w:b/>
        </w:rPr>
      </w:pPr>
      <w:r w:rsidRPr="008B16D3">
        <w:rPr>
          <w:b/>
          <w:i/>
        </w:rPr>
        <w:lastRenderedPageBreak/>
        <w:t>Bilješka 8. Materijalni rashodi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663"/>
        <w:gridCol w:w="1620"/>
        <w:gridCol w:w="960"/>
        <w:gridCol w:w="1700"/>
        <w:gridCol w:w="960"/>
      </w:tblGrid>
      <w:tr w:rsidR="00BB5B42" w:rsidRPr="00BB5B42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BB5B42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160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BB5B42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42274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107,568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422749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2017.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42274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91.876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B42" w:rsidRPr="00BB5B42" w:rsidRDefault="0042274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85,4</w:t>
            </w:r>
          </w:p>
        </w:tc>
      </w:tr>
    </w:tbl>
    <w:p w:rsidR="00BB5B42" w:rsidRPr="00BB5B42" w:rsidRDefault="00BB5B42" w:rsidP="00517813"/>
    <w:p w:rsidR="009B1850" w:rsidRDefault="00DA25B9" w:rsidP="00517813">
      <w:r>
        <w:t xml:space="preserve">Sveukupno, materijalni rashodi bilježe </w:t>
      </w:r>
      <w:r w:rsidR="00CE50EA">
        <w:t>pad</w:t>
      </w:r>
      <w:r w:rsidR="00EE7C18">
        <w:t xml:space="preserve"> </w:t>
      </w:r>
      <w:r>
        <w:t xml:space="preserve"> istih u odnosu na prethodno razdoblje, </w:t>
      </w:r>
      <w:r w:rsidR="006E6F68">
        <w:t xml:space="preserve">naročito zbog  </w:t>
      </w:r>
      <w:r w:rsidR="00CE50EA">
        <w:t>smanjenog korištenja vanjskih intelektualnih i osobnih usluga te rashoda reprezentacije. Obje stavke su vezane uz razne aktivnosti promocija knjiga  i ostalih događanja.</w:t>
      </w:r>
    </w:p>
    <w:p w:rsidR="00EA6718" w:rsidRDefault="00EA6718" w:rsidP="00517813">
      <w:pPr>
        <w:rPr>
          <w:b/>
          <w:i/>
        </w:rPr>
      </w:pPr>
    </w:p>
    <w:p w:rsidR="009B1850" w:rsidRPr="00EA6718" w:rsidRDefault="009B1850" w:rsidP="00517813">
      <w:pPr>
        <w:rPr>
          <w:b/>
          <w:i/>
        </w:rPr>
      </w:pPr>
      <w:r w:rsidRPr="008B16D3">
        <w:rPr>
          <w:b/>
          <w:i/>
        </w:rPr>
        <w:t xml:space="preserve">Bilješka 9. Financijski rashodi , Ostali rashodi (AOP </w:t>
      </w:r>
      <w:r w:rsidR="00CE50EA">
        <w:rPr>
          <w:b/>
          <w:i/>
        </w:rPr>
        <w:t>193</w:t>
      </w:r>
      <w:r w:rsidRPr="008B16D3">
        <w:rPr>
          <w:b/>
          <w:i/>
        </w:rPr>
        <w:t>)</w:t>
      </w:r>
    </w:p>
    <w:p w:rsidR="009B1850" w:rsidRDefault="009B1850" w:rsidP="00517813">
      <w:r>
        <w:t>Na pozicijama Financijskih  i Ostalih rashoda evidentirano je zamjetno smanjenje istih.</w:t>
      </w:r>
    </w:p>
    <w:p w:rsidR="004256B1" w:rsidRDefault="004256B1" w:rsidP="00517813"/>
    <w:p w:rsidR="006E6F68" w:rsidRDefault="006E6F68" w:rsidP="00517813"/>
    <w:p w:rsidR="005F7AE0" w:rsidRPr="00AB631C" w:rsidRDefault="005F7AE0" w:rsidP="00517813">
      <w:pPr>
        <w:rPr>
          <w:b/>
          <w:sz w:val="28"/>
          <w:szCs w:val="28"/>
        </w:rPr>
      </w:pPr>
      <w:r w:rsidRPr="00AB631C">
        <w:rPr>
          <w:b/>
          <w:sz w:val="28"/>
          <w:szCs w:val="28"/>
        </w:rPr>
        <w:t>PRIHODI I RASHODI OD NEFINANCIJSKE IMOVINE</w:t>
      </w:r>
    </w:p>
    <w:p w:rsidR="005F7AE0" w:rsidRDefault="005F7AE0" w:rsidP="00517813"/>
    <w:p w:rsidR="005F7AE0" w:rsidRDefault="005F7AE0" w:rsidP="00517813">
      <w:r>
        <w:t>Na pozicijama prihoda od nefinancijske imovine (AOP 28</w:t>
      </w:r>
      <w:r w:rsidR="00CE50EA">
        <w:t>9</w:t>
      </w:r>
      <w:r>
        <w:t>) nema iskazanih vrijednosti ni u proteklom, a niti u ovom razdoblju.</w:t>
      </w:r>
    </w:p>
    <w:p w:rsidR="005F7AE0" w:rsidRDefault="005F7AE0" w:rsidP="00517813"/>
    <w:p w:rsidR="00411B0B" w:rsidRPr="00AB631C" w:rsidRDefault="00411B0B" w:rsidP="00517813">
      <w:pPr>
        <w:rPr>
          <w:b/>
          <w:i/>
        </w:rPr>
      </w:pPr>
      <w:r w:rsidRPr="00AB631C">
        <w:rPr>
          <w:b/>
          <w:i/>
        </w:rPr>
        <w:t>Bilješka 10.</w:t>
      </w:r>
    </w:p>
    <w:p w:rsidR="005F7AE0" w:rsidRDefault="005F7AE0" w:rsidP="00517813">
      <w:r>
        <w:t xml:space="preserve">Na pozicijama rashoda </w:t>
      </w:r>
      <w:r w:rsidR="004256B1">
        <w:t xml:space="preserve">za nabavu nefinancijske imovine </w:t>
      </w:r>
      <w:r>
        <w:t xml:space="preserve">iskazan je </w:t>
      </w:r>
      <w:r w:rsidR="00CE50EA">
        <w:t xml:space="preserve">pad </w:t>
      </w:r>
      <w:r w:rsidR="00523F77">
        <w:t>najvećim dijelom kod uredske i računalne opreme, jer se nije ukazala potreba za nabavku istih, s obzirom na vijek uporabe .</w:t>
      </w:r>
    </w:p>
    <w:p w:rsidR="00523F77" w:rsidRDefault="00523F77" w:rsidP="00517813">
      <w:r>
        <w:t>Nabvka knjiga (AOP  375) u 2017. godini ostala je na istoj razini.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7AE0" w:rsidRPr="005F7AE0" w:rsidTr="00CE50EA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E0" w:rsidRPr="005F7AE0" w:rsidRDefault="005F7AE0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bookmarkStart w:id="3" w:name="OLE_LINK1"/>
            <w:bookmarkStart w:id="4" w:name="OLE_LINK2"/>
            <w:r w:rsidRPr="005F7AE0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CE50E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341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E0" w:rsidRPr="005F7AE0" w:rsidRDefault="00CE50EA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2016</w:t>
            </w:r>
            <w:r w:rsidR="005F7AE0" w:rsidRPr="005F7AE0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E0" w:rsidRPr="005F7AE0" w:rsidRDefault="00CE50EA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145,048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E0" w:rsidRPr="005F7AE0" w:rsidRDefault="00CE50EA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E0" w:rsidRPr="005F7AE0" w:rsidRDefault="00CE50EA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132.114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E0" w:rsidRPr="005F7AE0" w:rsidRDefault="00CE50EA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91,1</w:t>
            </w:r>
          </w:p>
        </w:tc>
      </w:tr>
      <w:bookmarkEnd w:id="3"/>
      <w:bookmarkEnd w:id="4"/>
    </w:tbl>
    <w:p w:rsidR="005F7AE0" w:rsidRDefault="005F7AE0" w:rsidP="00517813"/>
    <w:p w:rsidR="00EA6718" w:rsidRDefault="00EA6718" w:rsidP="00517813"/>
    <w:p w:rsidR="008B16D3" w:rsidRPr="00EA6718" w:rsidRDefault="00411B0B" w:rsidP="00517813">
      <w:pPr>
        <w:rPr>
          <w:b/>
          <w:i/>
        </w:rPr>
      </w:pPr>
      <w:bookmarkStart w:id="5" w:name="OLE_LINK3"/>
      <w:bookmarkStart w:id="6" w:name="OLE_LINK4"/>
      <w:bookmarkStart w:id="7" w:name="OLE_LINK5"/>
      <w:bookmarkStart w:id="8" w:name="OLE_LINK6"/>
      <w:r w:rsidRPr="00AB631C">
        <w:rPr>
          <w:b/>
          <w:i/>
        </w:rPr>
        <w:t xml:space="preserve">Bilješka 11. </w:t>
      </w:r>
      <w:bookmarkEnd w:id="5"/>
      <w:bookmarkEnd w:id="6"/>
      <w:bookmarkEnd w:id="7"/>
      <w:bookmarkEnd w:id="8"/>
    </w:p>
    <w:p w:rsidR="008B16D3" w:rsidRPr="00523F77" w:rsidRDefault="00523F77" w:rsidP="00517813">
      <w:pPr>
        <w:rPr>
          <w:b/>
        </w:rPr>
      </w:pPr>
      <w:r w:rsidRPr="00523F77">
        <w:rPr>
          <w:b/>
        </w:rPr>
        <w:t>REZULTAT</w:t>
      </w:r>
      <w:r>
        <w:rPr>
          <w:b/>
        </w:rPr>
        <w:t xml:space="preserve"> POSLOVANJA</w:t>
      </w:r>
    </w:p>
    <w:p w:rsidR="00426437" w:rsidRDefault="00426437" w:rsidP="00517813">
      <w:r>
        <w:t xml:space="preserve">Gradska knjižnica i čitaonica Hvar </w:t>
      </w:r>
      <w:r w:rsidR="008B16D3">
        <w:t xml:space="preserve">je </w:t>
      </w:r>
      <w:r>
        <w:t xml:space="preserve">na kraju izvještajnog razdoblja </w:t>
      </w:r>
      <w:r w:rsidR="008B16D3">
        <w:t xml:space="preserve"> ostvarila </w:t>
      </w:r>
      <w:r>
        <w:t xml:space="preserve">višak prihoda od poslovanja u iznosu od </w:t>
      </w:r>
      <w:r w:rsidR="00523F77">
        <w:t xml:space="preserve">129.034 </w:t>
      </w:r>
      <w:r>
        <w:t xml:space="preserve">kn te manjak prihoda od nefinancijske imovine od </w:t>
      </w:r>
      <w:r w:rsidR="0080492C">
        <w:t>132.114</w:t>
      </w:r>
      <w:r>
        <w:t xml:space="preserve"> kn</w:t>
      </w:r>
      <w:r w:rsidR="0080492C">
        <w:t>.</w:t>
      </w:r>
    </w:p>
    <w:p w:rsidR="00523F77" w:rsidRDefault="00523F77" w:rsidP="00517813">
      <w:pPr>
        <w:rPr>
          <w:b/>
          <w:sz w:val="28"/>
          <w:szCs w:val="28"/>
        </w:rPr>
      </w:pPr>
      <w:bookmarkStart w:id="9" w:name="OLE_LINK7"/>
      <w:bookmarkStart w:id="10" w:name="OLE_LINK8"/>
    </w:p>
    <w:p w:rsidR="0080492C" w:rsidRDefault="0080492C" w:rsidP="00517813">
      <w:pPr>
        <w:rPr>
          <w:b/>
          <w:sz w:val="28"/>
          <w:szCs w:val="28"/>
        </w:rPr>
      </w:pPr>
    </w:p>
    <w:p w:rsidR="0080492C" w:rsidRDefault="0080492C" w:rsidP="00517813">
      <w:pPr>
        <w:rPr>
          <w:b/>
          <w:sz w:val="28"/>
          <w:szCs w:val="28"/>
        </w:rPr>
      </w:pPr>
    </w:p>
    <w:p w:rsidR="00EA6718" w:rsidRDefault="00EA6718" w:rsidP="00517813">
      <w:pPr>
        <w:rPr>
          <w:b/>
          <w:sz w:val="28"/>
          <w:szCs w:val="28"/>
        </w:rPr>
      </w:pPr>
    </w:p>
    <w:p w:rsidR="0080492C" w:rsidRDefault="0080492C" w:rsidP="00517813">
      <w:pPr>
        <w:rPr>
          <w:b/>
          <w:sz w:val="28"/>
          <w:szCs w:val="28"/>
        </w:rPr>
      </w:pPr>
    </w:p>
    <w:p w:rsidR="00426437" w:rsidRPr="00245D58" w:rsidRDefault="00245D58" w:rsidP="005178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BILJEŠKE UZ BILANCU</w:t>
      </w:r>
    </w:p>
    <w:bookmarkEnd w:id="9"/>
    <w:bookmarkEnd w:id="10"/>
    <w:p w:rsidR="00FE4103" w:rsidRDefault="00FE4103" w:rsidP="00517813">
      <w:pPr>
        <w:rPr>
          <w:b/>
          <w:i/>
        </w:rPr>
      </w:pPr>
    </w:p>
    <w:p w:rsidR="00426437" w:rsidRPr="00FE4103" w:rsidRDefault="00FE4103" w:rsidP="00517813">
      <w:pPr>
        <w:rPr>
          <w:b/>
          <w:i/>
        </w:rPr>
      </w:pPr>
      <w:r>
        <w:rPr>
          <w:b/>
          <w:i/>
        </w:rPr>
        <w:t>Bilješka 12.</w:t>
      </w:r>
    </w:p>
    <w:p w:rsidR="00426437" w:rsidRDefault="0080492C" w:rsidP="00517813">
      <w:r>
        <w:rPr>
          <w:sz w:val="24"/>
          <w:szCs w:val="24"/>
        </w:rPr>
        <w:t>Imovinu</w:t>
      </w:r>
      <w:r w:rsidR="00466F78">
        <w:rPr>
          <w:sz w:val="24"/>
          <w:szCs w:val="24"/>
        </w:rPr>
        <w:t xml:space="preserve"> u ukupnom iznosu od </w:t>
      </w:r>
      <w:r>
        <w:rPr>
          <w:sz w:val="24"/>
          <w:szCs w:val="24"/>
        </w:rPr>
        <w:t>264,930</w:t>
      </w:r>
      <w:r w:rsidR="00466F78">
        <w:rPr>
          <w:sz w:val="24"/>
          <w:szCs w:val="24"/>
        </w:rPr>
        <w:t xml:space="preserve"> kn </w:t>
      </w:r>
      <w:r w:rsidR="00245D58">
        <w:rPr>
          <w:sz w:val="24"/>
          <w:szCs w:val="24"/>
        </w:rPr>
        <w:t xml:space="preserve">čini zbroj </w:t>
      </w:r>
      <w:r w:rsidR="00466F78">
        <w:rPr>
          <w:sz w:val="24"/>
          <w:szCs w:val="24"/>
        </w:rPr>
        <w:t xml:space="preserve">nefinancijske </w:t>
      </w:r>
      <w:r w:rsidR="00FE4103">
        <w:rPr>
          <w:sz w:val="24"/>
          <w:szCs w:val="24"/>
        </w:rPr>
        <w:t xml:space="preserve">i </w:t>
      </w:r>
      <w:r w:rsidR="00466F78">
        <w:rPr>
          <w:sz w:val="24"/>
          <w:szCs w:val="24"/>
        </w:rPr>
        <w:t xml:space="preserve"> </w:t>
      </w:r>
      <w:r w:rsidR="00245D58">
        <w:rPr>
          <w:sz w:val="24"/>
          <w:szCs w:val="24"/>
        </w:rPr>
        <w:t>financijske imovine</w:t>
      </w:r>
      <w:r w:rsidR="00FE4103">
        <w:rPr>
          <w:sz w:val="24"/>
          <w:szCs w:val="24"/>
        </w:rPr>
        <w:t>.</w:t>
      </w:r>
    </w:p>
    <w:p w:rsidR="00426437" w:rsidRDefault="00466F78" w:rsidP="00517813">
      <w:r>
        <w:t>Ispravak vrijednosti</w:t>
      </w:r>
      <w:r w:rsidR="0080492C">
        <w:t xml:space="preserve"> nefinancijske</w:t>
      </w:r>
      <w:r>
        <w:t xml:space="preserve"> imovine se vrši po slijedećim stopama: </w:t>
      </w:r>
    </w:p>
    <w:p w:rsidR="00466F78" w:rsidRPr="00466F78" w:rsidRDefault="00466F78" w:rsidP="00517813">
      <w:r w:rsidRPr="00466F78">
        <w:t>POSTROJENJA I OPREMA -25%,</w:t>
      </w:r>
    </w:p>
    <w:p w:rsidR="00466F78" w:rsidRPr="00466F78" w:rsidRDefault="00466F78" w:rsidP="00517813">
      <w:r w:rsidRPr="00466F78">
        <w:t>UREDSKA I OSTALA OPREMA-20%,</w:t>
      </w:r>
    </w:p>
    <w:p w:rsidR="00466F78" w:rsidRPr="00466F78" w:rsidRDefault="00466F78" w:rsidP="00517813">
      <w:r w:rsidRPr="00466F78">
        <w:t>KNJIGE I UMJETNIČKA DJELA -20%</w:t>
      </w:r>
    </w:p>
    <w:p w:rsidR="00466F78" w:rsidRDefault="00466F78" w:rsidP="00517813">
      <w:r w:rsidRPr="00466F78">
        <w:t>NEMATERIJALNA IMOVINA-25%</w:t>
      </w:r>
      <w:r>
        <w:t>.</w:t>
      </w:r>
    </w:p>
    <w:p w:rsidR="00466F78" w:rsidRPr="00466F78" w:rsidRDefault="00466F78" w:rsidP="00517813"/>
    <w:p w:rsidR="00FE4103" w:rsidRDefault="00FE4103" w:rsidP="00517813">
      <w:r>
        <w:t>Financijsku imovinu čine:</w:t>
      </w:r>
    </w:p>
    <w:p w:rsidR="00426437" w:rsidRDefault="00FE4103" w:rsidP="00517813">
      <w:r>
        <w:t xml:space="preserve">-sredstva na kunskom žiro računu te novac u blagajni u ukupnom iznosu od  </w:t>
      </w:r>
      <w:r w:rsidR="0080492C">
        <w:t>24.801</w:t>
      </w:r>
      <w:r>
        <w:t xml:space="preserve"> kn,</w:t>
      </w:r>
    </w:p>
    <w:p w:rsidR="00FE4103" w:rsidRPr="00466F78" w:rsidRDefault="00FE4103" w:rsidP="00517813">
      <w:r>
        <w:t xml:space="preserve">-rashodi budućih razdoblja u iznosu od </w:t>
      </w:r>
      <w:r w:rsidR="0080492C">
        <w:t>22.390</w:t>
      </w:r>
      <w:r>
        <w:t xml:space="preserve"> , a odnose se na obračunatu plaću za 12. mjesec koja dospijeva u 1. mjesecu 201</w:t>
      </w:r>
      <w:r w:rsidR="0080492C">
        <w:t>7</w:t>
      </w:r>
      <w:r>
        <w:t>. godine.</w:t>
      </w:r>
    </w:p>
    <w:p w:rsidR="00AB631C" w:rsidRDefault="00426437" w:rsidP="00517813">
      <w:r>
        <w:t xml:space="preserve"> </w:t>
      </w:r>
    </w:p>
    <w:p w:rsidR="00FE4103" w:rsidRPr="00EA6718" w:rsidRDefault="00FE4103" w:rsidP="00517813">
      <w:pPr>
        <w:rPr>
          <w:b/>
          <w:i/>
        </w:rPr>
      </w:pPr>
      <w:r>
        <w:rPr>
          <w:b/>
          <w:i/>
        </w:rPr>
        <w:t>Bilješka 13</w:t>
      </w:r>
      <w:r w:rsidRPr="00AB631C">
        <w:rPr>
          <w:b/>
          <w:i/>
        </w:rPr>
        <w:t xml:space="preserve">. </w:t>
      </w:r>
    </w:p>
    <w:p w:rsidR="00FE4103" w:rsidRDefault="0080492C" w:rsidP="00517813">
      <w:r>
        <w:t>Izvore imovine</w:t>
      </w:r>
      <w:r w:rsidR="00FE4103">
        <w:t xml:space="preserve"> iznosu od </w:t>
      </w:r>
      <w:r>
        <w:t>264.30</w:t>
      </w:r>
      <w:r w:rsidR="00FE4103">
        <w:t xml:space="preserve"> kn čini zbroj obveza i vlastitih izvora.</w:t>
      </w:r>
    </w:p>
    <w:p w:rsidR="00FE4103" w:rsidRDefault="006533C9" w:rsidP="00517813">
      <w:r>
        <w:t xml:space="preserve">Ukupne vlastite izvore u iznosu od </w:t>
      </w:r>
      <w:r w:rsidR="0080492C">
        <w:t>240.128 (AOP 226)</w:t>
      </w:r>
      <w:r>
        <w:t xml:space="preserve"> kn čine vlastiti izvori pro</w:t>
      </w:r>
      <w:r w:rsidR="005628B7">
        <w:t xml:space="preserve">računa </w:t>
      </w:r>
      <w:r w:rsidR="0080492C">
        <w:t xml:space="preserve">te </w:t>
      </w:r>
      <w:r w:rsidR="005628B7">
        <w:t xml:space="preserve">zbroj  prenesenog viška iz prehodne godine i </w:t>
      </w:r>
      <w:r>
        <w:t>utvrđeni rezultat za proračunsku godinu nakon umanjenja viška poslovanja i manjka od nefinancijske imovine na osnovnim računima skupine 922, za iznos kapitalnih prihoda koji su tijekom 201</w:t>
      </w:r>
      <w:r w:rsidR="0080492C">
        <w:t>7</w:t>
      </w:r>
      <w:r>
        <w:t>. godine utrošeni z</w:t>
      </w:r>
      <w:r w:rsidR="005628B7">
        <w:t xml:space="preserve">a nabavu nefinancijske imovine . </w:t>
      </w:r>
    </w:p>
    <w:p w:rsidR="00FE4103" w:rsidRDefault="00FE4103" w:rsidP="00517813"/>
    <w:p w:rsidR="00EA6718" w:rsidRDefault="00EA6718" w:rsidP="00517813"/>
    <w:p w:rsidR="00D73C09" w:rsidRDefault="0080492C" w:rsidP="005628B7">
      <w:r>
        <w:rPr>
          <w:b/>
          <w:sz w:val="28"/>
          <w:szCs w:val="28"/>
        </w:rPr>
        <w:t>BIL</w:t>
      </w:r>
      <w:r w:rsidR="00D73C09">
        <w:rPr>
          <w:b/>
          <w:sz w:val="28"/>
          <w:szCs w:val="28"/>
        </w:rPr>
        <w:t>JEŠKE UZ IZVJEŠTAJ O OBVEZAMA</w:t>
      </w:r>
    </w:p>
    <w:p w:rsidR="005628B7" w:rsidRDefault="005628B7" w:rsidP="00D73C09"/>
    <w:p w:rsidR="00D73C09" w:rsidRPr="00D73C09" w:rsidRDefault="00D73C09" w:rsidP="00D73C09">
      <w:pPr>
        <w:rPr>
          <w:b/>
        </w:rPr>
      </w:pPr>
      <w:r w:rsidRPr="00D73C09">
        <w:rPr>
          <w:b/>
        </w:rPr>
        <w:t xml:space="preserve">Bilješka br 14. </w:t>
      </w:r>
    </w:p>
    <w:p w:rsidR="00D73C09" w:rsidRDefault="00D73C09" w:rsidP="00D73C09">
      <w:r>
        <w:t>Nepodmirene obveze na dan 31.12.201</w:t>
      </w:r>
      <w:r w:rsidR="0080492C">
        <w:t>7</w:t>
      </w:r>
      <w:r>
        <w:t xml:space="preserve"> godine  (AOP 038) u iznosu </w:t>
      </w:r>
      <w:r w:rsidR="0080492C">
        <w:t>22.391</w:t>
      </w:r>
      <w:r>
        <w:t xml:space="preserve"> kn, </w:t>
      </w:r>
      <w:r w:rsidR="0075459D">
        <w:t>čine</w:t>
      </w:r>
      <w:r>
        <w:t xml:space="preserve"> :</w:t>
      </w:r>
    </w:p>
    <w:p w:rsidR="00D73C09" w:rsidRDefault="00D73C09" w:rsidP="00D73C09">
      <w:r>
        <w:t xml:space="preserve">-dospjele obveze </w:t>
      </w:r>
      <w:r w:rsidR="0075459D">
        <w:t xml:space="preserve">u iznosu od </w:t>
      </w:r>
      <w:r w:rsidR="0080492C">
        <w:t xml:space="preserve">22 kn, </w:t>
      </w:r>
    </w:p>
    <w:p w:rsidR="0075459D" w:rsidRDefault="00D73C09" w:rsidP="0075459D">
      <w:r>
        <w:t>-nedospjele obveze</w:t>
      </w:r>
      <w:r w:rsidR="0075459D">
        <w:t xml:space="preserve">: obveze za </w:t>
      </w:r>
      <w:r w:rsidR="0080492C">
        <w:t>zaposlene</w:t>
      </w:r>
      <w:r>
        <w:t xml:space="preserve"> u iznosu od </w:t>
      </w:r>
      <w:r w:rsidR="0080492C">
        <w:t>22.369</w:t>
      </w:r>
      <w:r w:rsidR="0075459D">
        <w:t>kn, koje dospijevaju u 1. mjesecu 201</w:t>
      </w:r>
      <w:r w:rsidR="0080492C">
        <w:t>7</w:t>
      </w:r>
      <w:r w:rsidR="0075459D">
        <w:t xml:space="preserve">. </w:t>
      </w:r>
    </w:p>
    <w:p w:rsidR="0075459D" w:rsidRDefault="0075459D" w:rsidP="0075459D"/>
    <w:p w:rsidR="0075459D" w:rsidRDefault="0075459D" w:rsidP="0075459D"/>
    <w:p w:rsidR="0075459D" w:rsidRDefault="0075459D" w:rsidP="0075459D">
      <w:r>
        <w:t>U Hvaru, 31.01.201</w:t>
      </w:r>
      <w:r w:rsidR="00D3740F">
        <w:t>8</w:t>
      </w:r>
      <w:r>
        <w:t>.godin</w:t>
      </w:r>
      <w:r w:rsidR="00EA6718">
        <w:t>e</w:t>
      </w:r>
    </w:p>
    <w:p w:rsidR="005628B7" w:rsidRDefault="00ED4558" w:rsidP="0075459D">
      <w:r>
        <w:lastRenderedPageBreak/>
        <w:t>Godine:</w:t>
      </w:r>
    </w:p>
    <w:p w:rsidR="00AB631C" w:rsidRDefault="00AB631C" w:rsidP="00517813">
      <w:r>
        <w:t>Bilješke sastavio:                                                                             Osoba za kontaktiranje:</w:t>
      </w:r>
    </w:p>
    <w:p w:rsidR="00AB631C" w:rsidRDefault="00AB631C" w:rsidP="00517813">
      <w:r>
        <w:t>Vanda Smoljenović-Bavčević                                                         Nikla Barbarić</w:t>
      </w:r>
    </w:p>
    <w:p w:rsidR="00AB631C" w:rsidRDefault="00AB631C" w:rsidP="00517813"/>
    <w:p w:rsidR="00AB631C" w:rsidRDefault="00AB631C" w:rsidP="00517813">
      <w:r>
        <w:t>Zakonski predstavnik:  Nikla Barbarić</w:t>
      </w:r>
    </w:p>
    <w:p w:rsidR="00411B0B" w:rsidRDefault="00411B0B" w:rsidP="00517813"/>
    <w:p w:rsidR="00411B0B" w:rsidRDefault="00411B0B" w:rsidP="00517813"/>
    <w:sectPr w:rsidR="00411B0B" w:rsidSect="00C7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88" w:rsidRDefault="00D36E88" w:rsidP="005628B7">
      <w:pPr>
        <w:spacing w:after="0" w:line="240" w:lineRule="auto"/>
      </w:pPr>
      <w:r>
        <w:separator/>
      </w:r>
    </w:p>
  </w:endnote>
  <w:endnote w:type="continuationSeparator" w:id="0">
    <w:p w:rsidR="00D36E88" w:rsidRDefault="00D36E88" w:rsidP="0056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88" w:rsidRDefault="00D36E88" w:rsidP="005628B7">
      <w:pPr>
        <w:spacing w:after="0" w:line="240" w:lineRule="auto"/>
      </w:pPr>
      <w:r>
        <w:separator/>
      </w:r>
    </w:p>
  </w:footnote>
  <w:footnote w:type="continuationSeparator" w:id="0">
    <w:p w:rsidR="00D36E88" w:rsidRDefault="00D36E88" w:rsidP="0056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8E9"/>
    <w:multiLevelType w:val="hybridMultilevel"/>
    <w:tmpl w:val="28BE474E"/>
    <w:lvl w:ilvl="0" w:tplc="C582A7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B3C"/>
    <w:multiLevelType w:val="hybridMultilevel"/>
    <w:tmpl w:val="25DA6C62"/>
    <w:lvl w:ilvl="0" w:tplc="DC0C4D9E">
      <w:start w:val="5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F"/>
    <w:rsid w:val="00026A4C"/>
    <w:rsid w:val="000656A5"/>
    <w:rsid w:val="00122FC8"/>
    <w:rsid w:val="00245D58"/>
    <w:rsid w:val="002932E8"/>
    <w:rsid w:val="00411B0B"/>
    <w:rsid w:val="00422749"/>
    <w:rsid w:val="004233BD"/>
    <w:rsid w:val="004256B1"/>
    <w:rsid w:val="00426437"/>
    <w:rsid w:val="00466F78"/>
    <w:rsid w:val="004A0D88"/>
    <w:rsid w:val="00506243"/>
    <w:rsid w:val="00517813"/>
    <w:rsid w:val="00523F77"/>
    <w:rsid w:val="00540E1E"/>
    <w:rsid w:val="005628B7"/>
    <w:rsid w:val="005F5C87"/>
    <w:rsid w:val="005F7AE0"/>
    <w:rsid w:val="006533C9"/>
    <w:rsid w:val="006E6F68"/>
    <w:rsid w:val="0075459D"/>
    <w:rsid w:val="00781566"/>
    <w:rsid w:val="007E0140"/>
    <w:rsid w:val="007E15E1"/>
    <w:rsid w:val="007F2D85"/>
    <w:rsid w:val="0080492C"/>
    <w:rsid w:val="008B16D3"/>
    <w:rsid w:val="009B1850"/>
    <w:rsid w:val="00A71C5B"/>
    <w:rsid w:val="00AB631C"/>
    <w:rsid w:val="00B01C4E"/>
    <w:rsid w:val="00B501B7"/>
    <w:rsid w:val="00B8796B"/>
    <w:rsid w:val="00BB5B42"/>
    <w:rsid w:val="00C10899"/>
    <w:rsid w:val="00C71B87"/>
    <w:rsid w:val="00CE50EA"/>
    <w:rsid w:val="00D33D9E"/>
    <w:rsid w:val="00D36E88"/>
    <w:rsid w:val="00D3740F"/>
    <w:rsid w:val="00D447A9"/>
    <w:rsid w:val="00D73C09"/>
    <w:rsid w:val="00D97B0C"/>
    <w:rsid w:val="00DA25B9"/>
    <w:rsid w:val="00DC0963"/>
    <w:rsid w:val="00E0513F"/>
    <w:rsid w:val="00E96E1B"/>
    <w:rsid w:val="00EA6718"/>
    <w:rsid w:val="00ED4558"/>
    <w:rsid w:val="00EE7C18"/>
    <w:rsid w:val="00F2548E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BB56-F784-47A5-A962-27CD54DF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56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28B7"/>
  </w:style>
  <w:style w:type="paragraph" w:styleId="Podnoje">
    <w:name w:val="footer"/>
    <w:basedOn w:val="Normal"/>
    <w:link w:val="Podno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628B7"/>
  </w:style>
  <w:style w:type="paragraph" w:styleId="Tekstbalonia">
    <w:name w:val="Balloon Text"/>
    <w:basedOn w:val="Normal"/>
    <w:link w:val="TekstbaloniaChar"/>
    <w:uiPriority w:val="99"/>
    <w:semiHidden/>
    <w:unhideWhenUsed/>
    <w:rsid w:val="00E9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Smoljenovic Bavcevic</dc:creator>
  <cp:lastModifiedBy>SERVER PC</cp:lastModifiedBy>
  <cp:revision>2</cp:revision>
  <cp:lastPrinted>2018-02-08T12:21:00Z</cp:lastPrinted>
  <dcterms:created xsi:type="dcterms:W3CDTF">2018-02-08T12:22:00Z</dcterms:created>
  <dcterms:modified xsi:type="dcterms:W3CDTF">2018-02-08T12:22:00Z</dcterms:modified>
</cp:coreProperties>
</file>